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2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HOST HOTELS &amp; RESORTS,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ectPr>
          <w:pgSz w:w="11900" w:h="16838" w:orient="portrait"/>
          <w:cols w:equalWidth="0" w:num="1">
            <w:col w:w="11240"/>
          </w:cols>
          <w:pgMar w:left="320" w:top="1440" w:right="339" w:bottom="1440" w:gutter="0" w:footer="0" w:header="0"/>
        </w:sectPr>
      </w:pPr>
    </w:p>
    <w:p>
      <w:pPr>
        <w:spacing w:after="0" w:line="21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7"/>
          <w:szCs w:val="17"/>
          <w:b w:val="1"/>
          <w:bCs w:val="1"/>
          <w:color w:val="auto"/>
        </w:rPr>
        <w:t>001-14625</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53-0085950</w:t>
      </w:r>
    </w:p>
    <w:p>
      <w:pPr>
        <w:spacing w:after="0" w:line="61" w:lineRule="exact"/>
        <w:rPr>
          <w:sz w:val="24"/>
          <w:szCs w:val="24"/>
          <w:color w:val="auto"/>
        </w:rPr>
      </w:pPr>
    </w:p>
    <w:p>
      <w:pPr>
        <w:sectPr>
          <w:pgSz w:w="11900" w:h="16838" w:orient="portrait"/>
          <w:cols w:equalWidth="0" w:num="3">
            <w:col w:w="4500" w:space="720"/>
            <w:col w:w="2740" w:space="720"/>
            <w:col w:w="2560"/>
          </w:cols>
          <w:pgMar w:left="320" w:top="1440" w:right="339" w:bottom="1440" w:gutter="0" w:footer="0" w:header="0"/>
          <w:type w:val="continuous"/>
        </w:sect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78" w:lineRule="exact"/>
        <w:rPr>
          <w:sz w:val="24"/>
          <w:szCs w:val="24"/>
          <w:color w:val="auto"/>
        </w:rPr>
      </w:pPr>
    </w:p>
    <w:p>
      <w:pPr>
        <w:sectPr>
          <w:pgSz w:w="11900" w:h="16838" w:orient="portrait"/>
          <w:cols w:equalWidth="0" w:num="3">
            <w:col w:w="4480" w:space="720"/>
            <w:col w:w="2640" w:space="720"/>
            <w:col w:w="2680"/>
          </w:cols>
          <w:pgMar w:left="320" w:top="1440" w:right="3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4747 Bethesda Avenue, Suite 1300</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Bethesda, Maryland</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20814</w:t>
      </w:r>
    </w:p>
    <w:p>
      <w:pPr>
        <w:spacing w:after="0" w:line="63" w:lineRule="exact"/>
        <w:rPr>
          <w:sz w:val="24"/>
          <w:szCs w:val="24"/>
          <w:color w:val="auto"/>
        </w:rPr>
      </w:pPr>
    </w:p>
    <w:p>
      <w:pPr>
        <w:sectPr>
          <w:pgSz w:w="11900" w:h="16838" w:orient="portrait"/>
          <w:cols w:equalWidth="0" w:num="2">
            <w:col w:w="7480" w:space="720"/>
            <w:col w:w="3040"/>
          </w:cols>
          <w:pgMar w:left="320" w:top="1440" w:right="33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1440" w:right="339" w:bottom="1440" w:gutter="0" w:footer="0" w:header="0"/>
          <w:type w:val="continuous"/>
        </w:sectPr>
      </w:pP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744-1000</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07" w:lineRule="exact"/>
        <w:rPr>
          <w:sz w:val="24"/>
          <w:szCs w:val="24"/>
          <w:color w:val="auto"/>
        </w:rPr>
      </w:pPr>
    </w:p>
    <w:p>
      <w:pPr>
        <w:ind w:right="20" w:firstLine="11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Wingdings" w:cs="Wingdings" w:eastAsia="Wingdings" w:hAnsi="Wingdings"/>
          <w:sz w:val="18"/>
          <w:szCs w:val="18"/>
          <w:b w:val="1"/>
          <w:bCs w:val="1"/>
          <w:color w:val="auto"/>
        </w:rPr>
      </w:pPr>
    </w:p>
    <w:p>
      <w:pPr>
        <w:ind w:left="520" w:hanging="494"/>
        <w:spacing w:after="0"/>
        <w:tabs>
          <w:tab w:leader="none" w:pos="5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4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100" w:type="dxa"/>
            <w:vAlign w:val="bottom"/>
            <w:vMerge w:val="restart"/>
          </w:tcPr>
          <w:p>
            <w:pPr>
              <w:spacing w:after="0"/>
              <w:rPr>
                <w:sz w:val="14"/>
                <w:szCs w:val="14"/>
                <w:color w:val="auto"/>
              </w:rPr>
            </w:pPr>
          </w:p>
        </w:tc>
        <w:tc>
          <w:tcPr>
            <w:tcW w:w="2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100" w:type="dxa"/>
            <w:vAlign w:val="bottom"/>
            <w:vMerge w:val="restart"/>
          </w:tcPr>
          <w:p>
            <w:pPr>
              <w:spacing w:after="0"/>
              <w:rPr>
                <w:sz w:val="14"/>
                <w:szCs w:val="14"/>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 on</w:t>
            </w:r>
          </w:p>
        </w:tc>
        <w:tc>
          <w:tcPr>
            <w:tcW w:w="0" w:type="dxa"/>
            <w:vAlign w:val="bottom"/>
          </w:tcPr>
          <w:p>
            <w:pPr>
              <w:spacing w:after="0"/>
              <w:rPr>
                <w:sz w:val="1"/>
                <w:szCs w:val="1"/>
                <w:color w:val="auto"/>
              </w:rPr>
            </w:pPr>
          </w:p>
        </w:tc>
      </w:tr>
      <w:tr>
        <w:trPr>
          <w:trHeight w:val="176"/>
        </w:trPr>
        <w:tc>
          <w:tcPr>
            <w:tcW w:w="34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Which Registered</w:t>
            </w:r>
          </w:p>
        </w:tc>
        <w:tc>
          <w:tcPr>
            <w:tcW w:w="0" w:type="dxa"/>
            <w:vAlign w:val="bottom"/>
          </w:tcPr>
          <w:p>
            <w:pPr>
              <w:spacing w:after="0"/>
              <w:rPr>
                <w:sz w:val="1"/>
                <w:szCs w:val="1"/>
                <w:color w:val="auto"/>
              </w:rPr>
            </w:pPr>
          </w:p>
        </w:tc>
      </w:tr>
      <w:tr>
        <w:trPr>
          <w:trHeight w:val="188"/>
        </w:trPr>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Common Stock, $.01 par value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HST</w:t>
            </w:r>
          </w:p>
        </w:tc>
        <w:tc>
          <w:tcPr>
            <w:tcW w:w="4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c>
          <w:tcPr>
            <w:tcW w:w="0" w:type="dxa"/>
            <w:vAlign w:val="bottom"/>
          </w:tcPr>
          <w:p>
            <w:pPr>
              <w:spacing w:after="0"/>
              <w:rPr>
                <w:sz w:val="1"/>
                <w:szCs w:val="1"/>
                <w:color w:val="auto"/>
              </w:rPr>
            </w:pPr>
          </w:p>
        </w:tc>
      </w:tr>
    </w:tbl>
    <w:p>
      <w:pPr>
        <w:spacing w:after="0" w:line="104" w:lineRule="exact"/>
        <w:rPr>
          <w:sz w:val="24"/>
          <w:szCs w:val="24"/>
          <w:color w:val="auto"/>
        </w:rPr>
      </w:pPr>
    </w:p>
    <w:p>
      <w:pPr>
        <w:ind w:right="660" w:firstLine="1134"/>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1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4"/>
          <w:szCs w:val="14"/>
          <w:b w:val="1"/>
          <w:bCs w:val="1"/>
          <w:color w:val="auto"/>
        </w:rPr>
        <w:t>o</w:t>
      </w:r>
    </w:p>
    <w:p>
      <w:pPr>
        <w:spacing w:after="0" w:line="9" w:lineRule="exact"/>
        <w:rPr>
          <w:sz w:val="24"/>
          <w:szCs w:val="24"/>
          <w:color w:val="auto"/>
        </w:rPr>
      </w:pPr>
    </w:p>
    <w:p>
      <w:pPr>
        <w:ind w:right="40" w:firstLine="1134"/>
        <w:spacing w:after="0" w:line="26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Host Hotels &amp; Resorts, Inc. (the "Company") held its annual meeting of stockholders on May 20, 2026. Stockholders were asked to vote on three proposals: the election of directors, the ratification of the appointment of KPMG LLP as the Company’s independent registered public accountants for 2026, and an advisory vote to approve executive compensation. Final voting results are set forth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31"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8"/>
          <w:szCs w:val="18"/>
          <w:color w:val="auto"/>
        </w:rPr>
        <w:t>Final votes regarding the election of nine directors for terms expiring at the 2027 annual meeting of stockholders are set forth below. Accordingly, each director nominee was elected for a one-year term.</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34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6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37"/>
        </w:trPr>
        <w:tc>
          <w:tcPr>
            <w:tcW w:w="3440" w:type="dxa"/>
            <w:vAlign w:val="bottom"/>
            <w:tcBorders>
              <w:bottom w:val="single" w:sz="8" w:color="CFF0FC"/>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r>
      <w:tr>
        <w:trPr>
          <w:trHeight w:val="243"/>
        </w:trPr>
        <w:tc>
          <w:tcPr>
            <w:tcW w:w="3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Mary L. Baglivo</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565,971,530</w:t>
            </w:r>
          </w:p>
        </w:tc>
        <w:tc>
          <w:tcPr>
            <w:tcW w:w="1600" w:type="dxa"/>
            <w:vAlign w:val="bottom"/>
            <w:tcBorders>
              <w:bottom w:val="single" w:sz="8" w:color="CFF0FC"/>
            </w:tcBorders>
            <w:shd w:val="clear" w:color="auto" w:fill="CFF0FC"/>
          </w:tcPr>
          <w:p>
            <w:pPr>
              <w:jc w:val="center"/>
              <w:ind w:right="12"/>
              <w:spacing w:after="0"/>
              <w:rPr>
                <w:sz w:val="20"/>
                <w:szCs w:val="20"/>
                <w:color w:val="auto"/>
              </w:rPr>
            </w:pPr>
            <w:r>
              <w:rPr>
                <w:rFonts w:ascii="Times New Roman" w:cs="Times New Roman" w:eastAsia="Times New Roman" w:hAnsi="Times New Roman"/>
                <w:sz w:val="18"/>
                <w:szCs w:val="18"/>
                <w:color w:val="auto"/>
              </w:rPr>
              <w:t>29,705,426</w:t>
            </w: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7,412,728</w:t>
            </w:r>
          </w:p>
        </w:tc>
        <w:tc>
          <w:tcPr>
            <w:tcW w:w="2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32,199,075</w:t>
            </w:r>
          </w:p>
        </w:tc>
      </w:tr>
      <w:tr>
        <w:trPr>
          <w:trHeight w:val="243"/>
        </w:trPr>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Herman E. Bulls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561,824,576</w:t>
            </w: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32,393,268</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8,871,840</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32,199,075</w:t>
            </w:r>
          </w:p>
        </w:tc>
      </w:tr>
      <w:tr>
        <w:trPr>
          <w:trHeight w:val="27"/>
        </w:trPr>
        <w:tc>
          <w:tcPr>
            <w:tcW w:w="3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Diana M. Laing</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579,317,478</w:t>
            </w:r>
          </w:p>
        </w:tc>
        <w:tc>
          <w:tcPr>
            <w:tcW w:w="1600" w:type="dxa"/>
            <w:vAlign w:val="bottom"/>
            <w:tcBorders>
              <w:bottom w:val="single" w:sz="8" w:color="CFF0FC"/>
            </w:tcBorders>
            <w:shd w:val="clear" w:color="auto" w:fill="CFF0FC"/>
          </w:tcPr>
          <w:p>
            <w:pPr>
              <w:jc w:val="center"/>
              <w:ind w:right="12"/>
              <w:spacing w:after="0"/>
              <w:rPr>
                <w:sz w:val="20"/>
                <w:szCs w:val="20"/>
                <w:color w:val="auto"/>
              </w:rPr>
            </w:pPr>
            <w:r>
              <w:rPr>
                <w:rFonts w:ascii="Times New Roman" w:cs="Times New Roman" w:eastAsia="Times New Roman" w:hAnsi="Times New Roman"/>
                <w:sz w:val="18"/>
                <w:szCs w:val="18"/>
                <w:color w:val="auto"/>
              </w:rPr>
              <w:t>14,901,655</w:t>
            </w: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8,870,551</w:t>
            </w:r>
          </w:p>
        </w:tc>
        <w:tc>
          <w:tcPr>
            <w:tcW w:w="2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32,199,075</w:t>
            </w:r>
          </w:p>
        </w:tc>
      </w:tr>
      <w:tr>
        <w:trPr>
          <w:trHeight w:val="243"/>
        </w:trPr>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Richard E. Marriott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572,864,319</w:t>
            </w: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22,848,564</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7,376,801</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32,199,075</w:t>
            </w:r>
          </w:p>
        </w:tc>
      </w:tr>
      <w:tr>
        <w:trPr>
          <w:trHeight w:val="27"/>
        </w:trPr>
        <w:tc>
          <w:tcPr>
            <w:tcW w:w="3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Mary Hogan Preusse</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582,541,172</w:t>
            </w:r>
          </w:p>
        </w:tc>
        <w:tc>
          <w:tcPr>
            <w:tcW w:w="1600" w:type="dxa"/>
            <w:vAlign w:val="bottom"/>
            <w:tcBorders>
              <w:bottom w:val="single" w:sz="8" w:color="CFF0FC"/>
            </w:tcBorders>
            <w:shd w:val="clear" w:color="auto" w:fill="CFF0FC"/>
          </w:tcPr>
          <w:p>
            <w:pPr>
              <w:jc w:val="center"/>
              <w:ind w:right="12"/>
              <w:spacing w:after="0"/>
              <w:rPr>
                <w:sz w:val="20"/>
                <w:szCs w:val="20"/>
                <w:color w:val="auto"/>
              </w:rPr>
            </w:pPr>
            <w:r>
              <w:rPr>
                <w:rFonts w:ascii="Times New Roman" w:cs="Times New Roman" w:eastAsia="Times New Roman" w:hAnsi="Times New Roman"/>
                <w:sz w:val="18"/>
                <w:szCs w:val="18"/>
                <w:color w:val="auto"/>
              </w:rPr>
              <w:t>13,133,646</w:t>
            </w: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7,414,866</w:t>
            </w:r>
          </w:p>
        </w:tc>
        <w:tc>
          <w:tcPr>
            <w:tcW w:w="2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32,199,075</w:t>
            </w:r>
          </w:p>
        </w:tc>
      </w:tr>
      <w:tr>
        <w:trPr>
          <w:trHeight w:val="243"/>
        </w:trPr>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Walter C. Rakowich</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564,055,481</w:t>
            </w: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31,654,715</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7,379,488</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32,199,075</w:t>
            </w:r>
          </w:p>
        </w:tc>
      </w:tr>
      <w:tr>
        <w:trPr>
          <w:trHeight w:val="27"/>
        </w:trPr>
        <w:tc>
          <w:tcPr>
            <w:tcW w:w="3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50"/>
        </w:trPr>
        <w:tc>
          <w:tcPr>
            <w:tcW w:w="34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James F. Risoleo</w:t>
            </w:r>
          </w:p>
        </w:tc>
        <w:tc>
          <w:tcPr>
            <w:tcW w:w="15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588,080,955</w:t>
            </w:r>
          </w:p>
        </w:tc>
        <w:tc>
          <w:tcPr>
            <w:tcW w:w="1600" w:type="dxa"/>
            <w:vAlign w:val="bottom"/>
            <w:tcBorders>
              <w:bottom w:val="single" w:sz="8" w:color="CFF0FC"/>
            </w:tcBorders>
            <w:shd w:val="clear" w:color="auto" w:fill="CFF0FC"/>
          </w:tcPr>
          <w:p>
            <w:pPr>
              <w:jc w:val="center"/>
              <w:ind w:right="32"/>
              <w:spacing w:after="0"/>
              <w:rPr>
                <w:sz w:val="20"/>
                <w:szCs w:val="20"/>
                <w:color w:val="auto"/>
              </w:rPr>
            </w:pPr>
            <w:r>
              <w:rPr>
                <w:rFonts w:ascii="Times New Roman" w:cs="Times New Roman" w:eastAsia="Times New Roman" w:hAnsi="Times New Roman"/>
                <w:sz w:val="18"/>
                <w:szCs w:val="18"/>
                <w:color w:val="auto"/>
                <w:w w:val="99"/>
              </w:rPr>
              <w:t>7,624,598</w:t>
            </w: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7,384,131</w:t>
            </w:r>
          </w:p>
        </w:tc>
        <w:tc>
          <w:tcPr>
            <w:tcW w:w="24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32,199,075</w:t>
            </w:r>
          </w:p>
        </w:tc>
      </w:tr>
      <w:tr>
        <w:trPr>
          <w:trHeight w:val="243"/>
        </w:trPr>
        <w:tc>
          <w:tcPr>
            <w:tcW w:w="3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Gordon H. Smith</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547,699,726</w:t>
            </w:r>
          </w:p>
        </w:tc>
        <w:tc>
          <w:tcPr>
            <w:tcW w:w="160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47,968,752</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7,421,206</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32,199,075</w:t>
            </w:r>
          </w:p>
        </w:tc>
      </w:tr>
      <w:tr>
        <w:trPr>
          <w:trHeight w:val="27"/>
        </w:trPr>
        <w:tc>
          <w:tcPr>
            <w:tcW w:w="3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20" w:type="dxa"/>
            <w:vAlign w:val="bottom"/>
          </w:tcPr>
          <w:p>
            <w:pPr>
              <w:spacing w:after="0"/>
              <w:rPr>
                <w:sz w:val="2"/>
                <w:szCs w:val="2"/>
                <w:color w:val="auto"/>
              </w:rPr>
            </w:pPr>
          </w:p>
        </w:tc>
      </w:tr>
      <w:tr>
        <w:trPr>
          <w:trHeight w:val="243"/>
        </w:trPr>
        <w:tc>
          <w:tcPr>
            <w:tcW w:w="3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 William Stein</w:t>
            </w: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579,565,584</w:t>
            </w:r>
          </w:p>
        </w:tc>
        <w:tc>
          <w:tcPr>
            <w:tcW w:w="1600" w:type="dxa"/>
            <w:vAlign w:val="bottom"/>
            <w:shd w:val="clear" w:color="auto" w:fill="CFF0FC"/>
          </w:tcPr>
          <w:p>
            <w:pPr>
              <w:jc w:val="center"/>
              <w:ind w:right="12"/>
              <w:spacing w:after="0"/>
              <w:rPr>
                <w:sz w:val="20"/>
                <w:szCs w:val="20"/>
                <w:color w:val="auto"/>
              </w:rPr>
            </w:pPr>
            <w:r>
              <w:rPr>
                <w:rFonts w:ascii="Times New Roman" w:cs="Times New Roman" w:eastAsia="Times New Roman" w:hAnsi="Times New Roman"/>
                <w:sz w:val="18"/>
                <w:szCs w:val="18"/>
                <w:color w:val="auto"/>
              </w:rPr>
              <w:t>16,100,279</w:t>
            </w: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7,423,821</w:t>
            </w:r>
          </w:p>
        </w:tc>
        <w:tc>
          <w:tcPr>
            <w:tcW w:w="2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32,199,075</w:t>
            </w:r>
          </w:p>
        </w:tc>
      </w:tr>
      <w:tr>
        <w:trPr>
          <w:trHeight w:val="27"/>
        </w:trPr>
        <w:tc>
          <w:tcPr>
            <w:tcW w:w="3440" w:type="dxa"/>
            <w:vAlign w:val="bottom"/>
            <w:shd w:val="clear" w:color="auto" w:fill="CFF0FC"/>
          </w:tcPr>
          <w:p>
            <w:pPr>
              <w:spacing w:after="0"/>
              <w:rPr>
                <w:sz w:val="2"/>
                <w:szCs w:val="2"/>
                <w:color w:val="auto"/>
              </w:rPr>
            </w:pPr>
          </w:p>
        </w:tc>
        <w:tc>
          <w:tcPr>
            <w:tcW w:w="1560" w:type="dxa"/>
            <w:vAlign w:val="bottom"/>
            <w:shd w:val="clear" w:color="auto" w:fill="CFF0FC"/>
          </w:tcPr>
          <w:p>
            <w:pPr>
              <w:spacing w:after="0"/>
              <w:rPr>
                <w:sz w:val="2"/>
                <w:szCs w:val="2"/>
                <w:color w:val="auto"/>
              </w:rPr>
            </w:pPr>
          </w:p>
        </w:tc>
        <w:tc>
          <w:tcPr>
            <w:tcW w:w="1600" w:type="dxa"/>
            <w:vAlign w:val="bottom"/>
            <w:shd w:val="clear" w:color="auto" w:fill="CFF0FC"/>
          </w:tcPr>
          <w:p>
            <w:pPr>
              <w:spacing w:after="0"/>
              <w:rPr>
                <w:sz w:val="2"/>
                <w:szCs w:val="2"/>
                <w:color w:val="auto"/>
              </w:rPr>
            </w:pPr>
          </w:p>
        </w:tc>
        <w:tc>
          <w:tcPr>
            <w:tcW w:w="1960" w:type="dxa"/>
            <w:vAlign w:val="bottom"/>
            <w:shd w:val="clear" w:color="auto" w:fill="CFF0FC"/>
          </w:tcPr>
          <w:p>
            <w:pPr>
              <w:spacing w:after="0"/>
              <w:rPr>
                <w:sz w:val="2"/>
                <w:szCs w:val="2"/>
                <w:color w:val="auto"/>
              </w:rPr>
            </w:pPr>
          </w:p>
        </w:tc>
        <w:tc>
          <w:tcPr>
            <w:tcW w:w="2420" w:type="dxa"/>
            <w:vAlign w:val="bottom"/>
            <w:shd w:val="clear" w:color="auto" w:fill="CFF0FC"/>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Ratification of Appointment of Independent Registered Public Accountants</w:t>
      </w:r>
    </w:p>
    <w:p>
      <w:pPr>
        <w:spacing w:after="0" w:line="31" w:lineRule="exact"/>
        <w:rPr>
          <w:sz w:val="20"/>
          <w:szCs w:val="20"/>
          <w:color w:val="auto"/>
        </w:rPr>
      </w:pPr>
    </w:p>
    <w:p>
      <w:pPr>
        <w:ind w:right="200" w:firstLine="648"/>
        <w:spacing w:after="0" w:line="260" w:lineRule="auto"/>
        <w:rPr>
          <w:sz w:val="20"/>
          <w:szCs w:val="20"/>
          <w:color w:val="auto"/>
        </w:rPr>
      </w:pPr>
      <w:r>
        <w:rPr>
          <w:rFonts w:ascii="Times New Roman" w:cs="Times New Roman" w:eastAsia="Times New Roman" w:hAnsi="Times New Roman"/>
          <w:sz w:val="18"/>
          <w:szCs w:val="18"/>
          <w:color w:val="auto"/>
        </w:rPr>
        <w:t>Final votes on the ratification of the appointment of KPMG LLP as independent registered public accountants of the Company to serve for 2026 are set forth below. Accordingly, the appointment of KPMG LLP was ratified.</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21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FOR</w:t>
            </w:r>
          </w:p>
        </w:tc>
        <w:tc>
          <w:tcPr>
            <w:tcW w:w="264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98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3180" w:type="dxa"/>
            <w:vAlign w:val="bottom"/>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37"/>
        </w:trPr>
        <w:tc>
          <w:tcPr>
            <w:tcW w:w="218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r>
      <w:tr>
        <w:trPr>
          <w:trHeight w:val="237"/>
        </w:trPr>
        <w:tc>
          <w:tcPr>
            <w:tcW w:w="21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602,833,025</w:t>
            </w:r>
          </w:p>
        </w:tc>
        <w:tc>
          <w:tcPr>
            <w:tcW w:w="264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rPr>
              <w:t>30,935,290</w:t>
            </w:r>
          </w:p>
        </w:tc>
        <w:tc>
          <w:tcPr>
            <w:tcW w:w="298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rPr>
              <w:t>1,520,444</w:t>
            </w:r>
          </w:p>
        </w:tc>
        <w:tc>
          <w:tcPr>
            <w:tcW w:w="3180" w:type="dxa"/>
            <w:vAlign w:val="bottom"/>
            <w:shd w:val="clear" w:color="auto" w:fill="CFF0FC"/>
          </w:tcPr>
          <w:p>
            <w:pPr>
              <w:jc w:val="right"/>
              <w:ind w:right="1399"/>
              <w:spacing w:after="0"/>
              <w:rPr>
                <w:sz w:val="20"/>
                <w:szCs w:val="20"/>
                <w:color w:val="auto"/>
              </w:rPr>
            </w:pPr>
            <w:r>
              <w:rPr>
                <w:rFonts w:ascii="Times New Roman" w:cs="Times New Roman" w:eastAsia="Times New Roman" w:hAnsi="Times New Roman"/>
                <w:sz w:val="18"/>
                <w:szCs w:val="18"/>
                <w:color w:val="333333"/>
              </w:rPr>
              <w:t>0</w:t>
            </w:r>
          </w:p>
        </w:tc>
      </w:tr>
      <w:tr>
        <w:trPr>
          <w:trHeight w:val="27"/>
        </w:trPr>
        <w:tc>
          <w:tcPr>
            <w:tcW w:w="2180" w:type="dxa"/>
            <w:vAlign w:val="bottom"/>
            <w:shd w:val="clear" w:color="auto" w:fill="CFF0FC"/>
          </w:tcPr>
          <w:p>
            <w:pPr>
              <w:spacing w:after="0"/>
              <w:rPr>
                <w:sz w:val="2"/>
                <w:szCs w:val="2"/>
                <w:color w:val="auto"/>
              </w:rPr>
            </w:pPr>
          </w:p>
        </w:tc>
        <w:tc>
          <w:tcPr>
            <w:tcW w:w="2640" w:type="dxa"/>
            <w:vAlign w:val="bottom"/>
            <w:shd w:val="clear" w:color="auto" w:fill="CFF0FC"/>
          </w:tcPr>
          <w:p>
            <w:pPr>
              <w:spacing w:after="0"/>
              <w:rPr>
                <w:sz w:val="2"/>
                <w:szCs w:val="2"/>
                <w:color w:val="auto"/>
              </w:rPr>
            </w:pPr>
          </w:p>
        </w:tc>
        <w:tc>
          <w:tcPr>
            <w:tcW w:w="2980" w:type="dxa"/>
            <w:vAlign w:val="bottom"/>
            <w:shd w:val="clear" w:color="auto" w:fill="CFF0FC"/>
          </w:tcPr>
          <w:p>
            <w:pPr>
              <w:spacing w:after="0"/>
              <w:rPr>
                <w:sz w:val="2"/>
                <w:szCs w:val="2"/>
                <w:color w:val="auto"/>
              </w:rPr>
            </w:pPr>
          </w:p>
        </w:tc>
        <w:tc>
          <w:tcPr>
            <w:tcW w:w="3180" w:type="dxa"/>
            <w:vAlign w:val="bottom"/>
            <w:shd w:val="clear" w:color="auto" w:fill="CFF0FC"/>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Advisory Vote on Executive Compensation</w:t>
      </w:r>
    </w:p>
    <w:p>
      <w:pPr>
        <w:spacing w:after="0" w:line="31" w:lineRule="exact"/>
        <w:rPr>
          <w:sz w:val="20"/>
          <w:szCs w:val="20"/>
          <w:color w:val="auto"/>
        </w:rPr>
      </w:pPr>
    </w:p>
    <w:p>
      <w:pPr>
        <w:ind w:right="100" w:firstLine="648"/>
        <w:spacing w:after="0" w:line="260" w:lineRule="auto"/>
        <w:rPr>
          <w:sz w:val="20"/>
          <w:szCs w:val="20"/>
          <w:color w:val="auto"/>
        </w:rPr>
      </w:pPr>
      <w:r>
        <w:rPr>
          <w:rFonts w:ascii="Times New Roman" w:cs="Times New Roman" w:eastAsia="Times New Roman" w:hAnsi="Times New Roman"/>
          <w:sz w:val="18"/>
          <w:szCs w:val="18"/>
          <w:color w:val="auto"/>
        </w:rPr>
        <w:t>The final, non-binding, advisory votes on the Company’s executive compensation are set forth below. Accordingly, the proposal was approved by approximately 93% of the votes cast.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216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FOR</w:t>
            </w:r>
          </w:p>
        </w:tc>
        <w:tc>
          <w:tcPr>
            <w:tcW w:w="26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98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324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37"/>
        </w:trPr>
        <w:tc>
          <w:tcPr>
            <w:tcW w:w="2420" w:type="dxa"/>
            <w:vAlign w:val="bottom"/>
            <w:gridSpan w:val="2"/>
          </w:tcPr>
          <w:p>
            <w:pPr>
              <w:spacing w:after="0"/>
              <w:rPr>
                <w:sz w:val="3"/>
                <w:szCs w:val="3"/>
                <w:color w:val="auto"/>
              </w:rPr>
            </w:pPr>
          </w:p>
        </w:tc>
        <w:tc>
          <w:tcPr>
            <w:tcW w:w="2600" w:type="dxa"/>
            <w:vAlign w:val="bottom"/>
          </w:tcPr>
          <w:p>
            <w:pPr>
              <w:spacing w:after="0"/>
              <w:rPr>
                <w:sz w:val="3"/>
                <w:szCs w:val="3"/>
                <w:color w:val="auto"/>
              </w:rPr>
            </w:pPr>
          </w:p>
        </w:tc>
        <w:tc>
          <w:tcPr>
            <w:tcW w:w="2980" w:type="dxa"/>
            <w:vAlign w:val="bottom"/>
          </w:tcPr>
          <w:p>
            <w:pPr>
              <w:spacing w:after="0"/>
              <w:rPr>
                <w:sz w:val="3"/>
                <w:szCs w:val="3"/>
                <w:color w:val="auto"/>
              </w:rPr>
            </w:pPr>
          </w:p>
        </w:tc>
        <w:tc>
          <w:tcPr>
            <w:tcW w:w="3240" w:type="dxa"/>
            <w:vAlign w:val="bottom"/>
          </w:tcPr>
          <w:p>
            <w:pPr>
              <w:spacing w:after="0"/>
              <w:rPr>
                <w:sz w:val="3"/>
                <w:szCs w:val="3"/>
                <w:color w:val="auto"/>
              </w:rPr>
            </w:pPr>
          </w:p>
        </w:tc>
      </w:tr>
      <w:tr>
        <w:trPr>
          <w:trHeight w:val="243"/>
        </w:trPr>
        <w:tc>
          <w:tcPr>
            <w:tcW w:w="260" w:type="dxa"/>
            <w:vAlign w:val="bottom"/>
          </w:tcPr>
          <w:p>
            <w:pPr>
              <w:spacing w:after="0"/>
              <w:rPr>
                <w:sz w:val="21"/>
                <w:szCs w:val="21"/>
                <w:color w:val="auto"/>
              </w:rPr>
            </w:pPr>
          </w:p>
        </w:tc>
        <w:tc>
          <w:tcPr>
            <w:tcW w:w="2160" w:type="dxa"/>
            <w:vAlign w:val="bottom"/>
            <w:tcBorders>
              <w:top w:val="single" w:sz="8" w:color="auto"/>
              <w:bottom w:val="single" w:sz="8" w:color="CFF0FC"/>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rPr>
              <w:t>556,327,681</w:t>
            </w:r>
          </w:p>
        </w:tc>
        <w:tc>
          <w:tcPr>
            <w:tcW w:w="2600" w:type="dxa"/>
            <w:vAlign w:val="bottom"/>
            <w:tcBorders>
              <w:top w:val="single" w:sz="8" w:color="auto"/>
              <w:bottom w:val="single" w:sz="8" w:color="CFF0FC"/>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40,332,115</w:t>
            </w:r>
          </w:p>
        </w:tc>
        <w:tc>
          <w:tcPr>
            <w:tcW w:w="2980" w:type="dxa"/>
            <w:vAlign w:val="bottom"/>
            <w:tcBorders>
              <w:top w:val="single" w:sz="8" w:color="auto"/>
              <w:bottom w:val="single" w:sz="8" w:color="CFF0FC"/>
            </w:tcBorders>
            <w:shd w:val="clear" w:color="auto" w:fill="CFF0FC"/>
          </w:tcPr>
          <w:p>
            <w:pPr>
              <w:jc w:val="right"/>
              <w:ind w:right="999"/>
              <w:spacing w:after="0"/>
              <w:rPr>
                <w:sz w:val="20"/>
                <w:szCs w:val="20"/>
                <w:color w:val="auto"/>
              </w:rPr>
            </w:pPr>
            <w:r>
              <w:rPr>
                <w:rFonts w:ascii="Times New Roman" w:cs="Times New Roman" w:eastAsia="Times New Roman" w:hAnsi="Times New Roman"/>
                <w:sz w:val="18"/>
                <w:szCs w:val="18"/>
                <w:color w:val="auto"/>
              </w:rPr>
              <w:t>6,429,888</w:t>
            </w:r>
          </w:p>
        </w:tc>
        <w:tc>
          <w:tcPr>
            <w:tcW w:w="3240" w:type="dxa"/>
            <w:vAlign w:val="bottom"/>
            <w:tcBorders>
              <w:top w:val="single" w:sz="8" w:color="auto"/>
              <w:bottom w:val="single" w:sz="8" w:color="CFF0FC"/>
            </w:tcBorders>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color w:val="auto"/>
              </w:rPr>
              <w:t>32,199,075</w:t>
            </w:r>
          </w:p>
        </w:tc>
      </w:tr>
      <w:tr>
        <w:trPr>
          <w:trHeight w:val="1478"/>
        </w:trPr>
        <w:tc>
          <w:tcPr>
            <w:tcW w:w="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13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76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HOST HOTELS &amp; RESORTS, INC.</w:t>
            </w:r>
          </w:p>
        </w:tc>
      </w:tr>
      <w:tr>
        <w:trPr>
          <w:trHeight w:val="54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34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OSEPH</w:t>
            </w:r>
            <w:r>
              <w:rPr>
                <w:rFonts w:ascii="Times New Roman" w:cs="Times New Roman" w:eastAsia="Times New Roman" w:hAnsi="Times New Roman"/>
                <w:sz w:val="18"/>
                <w:szCs w:val="18"/>
                <w:color w:val="auto"/>
              </w:rPr>
              <w:t xml:space="preserve"> C. O</w:t>
            </w:r>
            <w:r>
              <w:rPr>
                <w:rFonts w:ascii="Times New Roman" w:cs="Times New Roman" w:eastAsia="Times New Roman" w:hAnsi="Times New Roman"/>
                <w:sz w:val="12"/>
                <w:szCs w:val="12"/>
                <w:color w:val="auto"/>
              </w:rPr>
              <w:t>TTINGER</w:t>
            </w:r>
          </w:p>
        </w:tc>
      </w:tr>
      <w:tr>
        <w:trPr>
          <w:trHeight w:val="27"/>
        </w:trPr>
        <w:tc>
          <w:tcPr>
            <w:tcW w:w="30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34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Name:</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Joseph C. Ottinger</w:t>
            </w:r>
          </w:p>
        </w:tc>
      </w:tr>
      <w:tr>
        <w:trPr>
          <w:trHeight w:val="270"/>
        </w:trPr>
        <w:tc>
          <w:tcPr>
            <w:tcW w:w="3060" w:type="dxa"/>
            <w:vAlign w:val="bottom"/>
          </w:tcPr>
          <w:p>
            <w:pPr>
              <w:spacing w:after="0"/>
              <w:rPr>
                <w:sz w:val="23"/>
                <w:szCs w:val="23"/>
                <w:color w:val="auto"/>
              </w:rPr>
            </w:pPr>
          </w:p>
        </w:tc>
        <w:tc>
          <w:tcPr>
            <w:tcW w:w="344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Title:</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Senior Vice President and Corporate Controller</w:t>
            </w:r>
          </w:p>
        </w:tc>
      </w:tr>
    </w:tbl>
    <w:p>
      <w:pPr>
        <w:spacing w:after="0" w:line="1" w:lineRule="exact"/>
        <w:rPr>
          <w:sz w:val="20"/>
          <w:szCs w:val="20"/>
          <w:color w:val="auto"/>
        </w:rPr>
      </w:pPr>
    </w:p>
    <w:sectPr>
      <w:pgSz w:w="11900" w:h="16838" w:orient="portrait"/>
      <w:cols w:equalWidth="0" w:num="1">
        <w:col w:w="11160"/>
      </w:cols>
      <w:pgMar w:left="320" w:top="114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2026-05-22T09:44:46Z</dcterms:created>
  <dcterms:modified xsi:type="dcterms:W3CDTF">2026-05-22T09:44:46Z</dcterms:modified>
</cp:coreProperties>
</file>