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ind w:left="5600" w:right="1879" w:hanging="5477"/>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January 31, 2001 Registration No. 333-51946</w:t>
      </w:r>
    </w:p>
    <w:p>
      <w:pPr>
        <w:spacing w:after="0" w:line="170"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AMENDMENT NO. 2 TO FORM S-3</w:t>
      </w:r>
    </w:p>
    <w:p>
      <w:pPr>
        <w:ind w:left="29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74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HOST MARRIOTT CORPORATION</w:t>
      </w:r>
    </w:p>
    <w:p>
      <w:pPr>
        <w:ind w:left="640"/>
        <w:spacing w:after="0"/>
        <w:rPr>
          <w:sz w:val="20"/>
          <w:szCs w:val="20"/>
          <w:color w:val="auto"/>
        </w:rPr>
      </w:pPr>
      <w:r>
        <w:rPr>
          <w:rFonts w:ascii="Courier New" w:cs="Courier New" w:eastAsia="Courier New" w:hAnsi="Courier New"/>
          <w:sz w:val="18"/>
          <w:szCs w:val="18"/>
          <w:color w:val="auto"/>
        </w:rPr>
        <w:t>(Exact name of registrant as specified in its governing instrument)</w:t>
      </w:r>
    </w:p>
    <w:p>
      <w:pPr>
        <w:ind w:left="960"/>
        <w:spacing w:after="0" w:line="237" w:lineRule="auto"/>
        <w:tabs>
          <w:tab w:leader="none" w:pos="6100" w:val="left"/>
        </w:tabs>
        <w:rPr>
          <w:sz w:val="20"/>
          <w:szCs w:val="20"/>
          <w:color w:val="auto"/>
        </w:rPr>
      </w:pPr>
      <w:r>
        <w:rPr>
          <w:rFonts w:ascii="Courier New" w:cs="Courier New" w:eastAsia="Courier New" w:hAnsi="Courier New"/>
          <w:sz w:val="18"/>
          <w:szCs w:val="18"/>
          <w:color w:val="auto"/>
        </w:rPr>
        <w:t>Maryland</w:t>
      </w:r>
      <w:r>
        <w:rPr>
          <w:sz w:val="20"/>
          <w:szCs w:val="20"/>
          <w:color w:val="auto"/>
        </w:rPr>
        <w:tab/>
      </w:r>
      <w:r>
        <w:rPr>
          <w:rFonts w:ascii="Courier New" w:cs="Courier New" w:eastAsia="Courier New" w:hAnsi="Courier New"/>
          <w:sz w:val="18"/>
          <w:szCs w:val="18"/>
          <w:color w:val="auto"/>
        </w:rPr>
        <w:t>53-0085950</w:t>
      </w:r>
    </w:p>
    <w:p>
      <w:pPr>
        <w:ind w:left="220"/>
        <w:spacing w:after="0"/>
        <w:tabs>
          <w:tab w:leader="none" w:pos="5780" w:val="left"/>
        </w:tabs>
        <w:rPr>
          <w:sz w:val="20"/>
          <w:szCs w:val="20"/>
          <w:color w:val="auto"/>
        </w:rPr>
      </w:pPr>
      <w:r>
        <w:rPr>
          <w:rFonts w:ascii="Courier New" w:cs="Courier New" w:eastAsia="Courier New" w:hAnsi="Courier New"/>
          <w:sz w:val="18"/>
          <w:szCs w:val="18"/>
          <w:color w:val="auto"/>
        </w:rPr>
        <w:t>(State of Organization)</w:t>
      </w:r>
      <w:r>
        <w:rPr>
          <w:sz w:val="20"/>
          <w:szCs w:val="20"/>
          <w:color w:val="auto"/>
        </w:rPr>
        <w:tab/>
      </w:r>
      <w:r>
        <w:rPr>
          <w:rFonts w:ascii="Courier New" w:cs="Courier New" w:eastAsia="Courier New" w:hAnsi="Courier New"/>
          <w:sz w:val="16"/>
          <w:szCs w:val="16"/>
          <w:color w:val="auto"/>
        </w:rPr>
        <w:t>(I.R.S. Employer</w:t>
      </w:r>
    </w:p>
    <w:p>
      <w:pPr>
        <w:ind w:left="5480"/>
        <w:spacing w:after="0"/>
        <w:rPr>
          <w:sz w:val="20"/>
          <w:szCs w:val="20"/>
          <w:color w:val="auto"/>
        </w:rPr>
      </w:pPr>
      <w:r>
        <w:rPr>
          <w:rFonts w:ascii="Courier New" w:cs="Courier New" w:eastAsia="Courier New" w:hAnsi="Courier New"/>
          <w:sz w:val="18"/>
          <w:szCs w:val="18"/>
          <w:color w:val="auto"/>
        </w:rPr>
        <w:t>Identification Number)</w:t>
      </w:r>
    </w:p>
    <w:p>
      <w:pPr>
        <w:jc w:val="center"/>
        <w:ind w:right="1879"/>
        <w:spacing w:after="0" w:line="237" w:lineRule="auto"/>
        <w:rPr>
          <w:sz w:val="20"/>
          <w:szCs w:val="20"/>
          <w:color w:val="auto"/>
        </w:rPr>
      </w:pPr>
      <w:r>
        <w:rPr>
          <w:rFonts w:ascii="Courier New" w:cs="Courier New" w:eastAsia="Courier New" w:hAnsi="Courier New"/>
          <w:sz w:val="18"/>
          <w:szCs w:val="18"/>
          <w:color w:val="auto"/>
        </w:rPr>
        <w:t>10400 Fernwood Road</w:t>
      </w:r>
    </w:p>
    <w:p>
      <w:pPr>
        <w:jc w:val="center"/>
        <w:ind w:right="1879"/>
        <w:spacing w:after="0"/>
        <w:rPr>
          <w:sz w:val="20"/>
          <w:szCs w:val="20"/>
          <w:color w:val="auto"/>
        </w:rPr>
      </w:pPr>
      <w:r>
        <w:rPr>
          <w:rFonts w:ascii="Courier New" w:cs="Courier New" w:eastAsia="Courier New" w:hAnsi="Courier New"/>
          <w:sz w:val="18"/>
          <w:szCs w:val="18"/>
          <w:color w:val="auto"/>
        </w:rPr>
        <w:t>Bethesda, Maryland 20817-1109</w:t>
      </w:r>
    </w:p>
    <w:p>
      <w:pPr>
        <w:jc w:val="center"/>
        <w:ind w:right="1999"/>
        <w:spacing w:after="0" w:line="237" w:lineRule="auto"/>
        <w:rPr>
          <w:sz w:val="20"/>
          <w:szCs w:val="20"/>
          <w:color w:val="auto"/>
        </w:rPr>
      </w:pPr>
      <w:r>
        <w:rPr>
          <w:rFonts w:ascii="Courier New" w:cs="Courier New" w:eastAsia="Courier New" w:hAnsi="Courier New"/>
          <w:sz w:val="18"/>
          <w:szCs w:val="18"/>
          <w:color w:val="auto"/>
        </w:rPr>
        <w:t>301-380-9000</w:t>
      </w:r>
    </w:p>
    <w:p>
      <w:pPr>
        <w:jc w:val="center"/>
        <w:ind w:right="1879"/>
        <w:spacing w:after="0"/>
        <w:rPr>
          <w:sz w:val="20"/>
          <w:szCs w:val="20"/>
          <w:color w:val="auto"/>
        </w:rPr>
      </w:pPr>
      <w:r>
        <w:rPr>
          <w:rFonts w:ascii="Courier New" w:cs="Courier New" w:eastAsia="Courier New" w:hAnsi="Courier New"/>
          <w:sz w:val="18"/>
          <w:szCs w:val="18"/>
          <w:color w:val="auto"/>
        </w:rPr>
        <w:t>(Address and telephone number of principal executive offices)</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Christopher G. Townsend, Esq.</w:t>
      </w:r>
    </w:p>
    <w:p>
      <w:pPr>
        <w:jc w:val="center"/>
        <w:ind w:right="1879"/>
        <w:spacing w:after="0"/>
        <w:rPr>
          <w:sz w:val="20"/>
          <w:szCs w:val="20"/>
          <w:color w:val="auto"/>
        </w:rPr>
      </w:pPr>
      <w:r>
        <w:rPr>
          <w:rFonts w:ascii="Courier New" w:cs="Courier New" w:eastAsia="Courier New" w:hAnsi="Courier New"/>
          <w:sz w:val="18"/>
          <w:szCs w:val="18"/>
          <w:color w:val="auto"/>
        </w:rPr>
        <w:t>Senior Vice President and General Counsel</w:t>
      </w:r>
    </w:p>
    <w:p>
      <w:pPr>
        <w:jc w:val="center"/>
        <w:ind w:right="1879"/>
        <w:spacing w:after="0" w:line="237" w:lineRule="auto"/>
        <w:rPr>
          <w:sz w:val="20"/>
          <w:szCs w:val="20"/>
          <w:color w:val="auto"/>
        </w:rPr>
      </w:pPr>
      <w:r>
        <w:rPr>
          <w:rFonts w:ascii="Courier New" w:cs="Courier New" w:eastAsia="Courier New" w:hAnsi="Courier New"/>
          <w:sz w:val="18"/>
          <w:szCs w:val="18"/>
          <w:color w:val="auto"/>
        </w:rPr>
        <w:t>10400 Fernwood Road</w:t>
      </w:r>
    </w:p>
    <w:p>
      <w:pPr>
        <w:ind w:left="2640"/>
        <w:spacing w:after="0" w:line="238" w:lineRule="auto"/>
        <w:rPr>
          <w:sz w:val="20"/>
          <w:szCs w:val="20"/>
          <w:color w:val="auto"/>
        </w:rPr>
      </w:pPr>
      <w:r>
        <w:rPr>
          <w:rFonts w:ascii="Courier New" w:cs="Courier New" w:eastAsia="Courier New" w:hAnsi="Courier New"/>
          <w:sz w:val="18"/>
          <w:szCs w:val="18"/>
          <w:color w:val="auto"/>
        </w:rPr>
        <w:t>Bethesda, Maryland 20817-1109</w:t>
      </w:r>
    </w:p>
    <w:p>
      <w:pPr>
        <w:ind w:left="3480"/>
        <w:spacing w:after="0"/>
        <w:rPr>
          <w:sz w:val="20"/>
          <w:szCs w:val="20"/>
          <w:color w:val="auto"/>
        </w:rPr>
      </w:pPr>
      <w:r>
        <w:rPr>
          <w:rFonts w:ascii="Courier New" w:cs="Courier New" w:eastAsia="Courier New" w:hAnsi="Courier New"/>
          <w:sz w:val="18"/>
          <w:szCs w:val="18"/>
          <w:color w:val="auto"/>
        </w:rPr>
        <w:t>301-380-9000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Copies to:</w:t>
      </w:r>
    </w:p>
    <w:p>
      <w:pPr>
        <w:ind w:left="2640"/>
        <w:spacing w:after="0"/>
        <w:rPr>
          <w:sz w:val="20"/>
          <w:szCs w:val="20"/>
          <w:color w:val="auto"/>
        </w:rPr>
      </w:pPr>
      <w:r>
        <w:rPr>
          <w:rFonts w:ascii="Courier New" w:cs="Courier New" w:eastAsia="Courier New" w:hAnsi="Courier New"/>
          <w:sz w:val="18"/>
          <w:szCs w:val="18"/>
          <w:color w:val="auto"/>
        </w:rPr>
        <w:t>J. Warren Gorrell, Jr., Esq.</w:t>
      </w:r>
    </w:p>
    <w:p>
      <w:pPr>
        <w:ind w:left="2860"/>
        <w:spacing w:after="0" w:line="237" w:lineRule="auto"/>
        <w:rPr>
          <w:sz w:val="20"/>
          <w:szCs w:val="20"/>
          <w:color w:val="auto"/>
        </w:rPr>
      </w:pPr>
      <w:r>
        <w:rPr>
          <w:rFonts w:ascii="Courier New" w:cs="Courier New" w:eastAsia="Courier New" w:hAnsi="Courier New"/>
          <w:sz w:val="18"/>
          <w:szCs w:val="18"/>
          <w:color w:val="auto"/>
        </w:rPr>
        <w:t>Bruce W. Gilchrist, Esq.</w:t>
      </w:r>
    </w:p>
    <w:p>
      <w:pPr>
        <w:ind w:left="2960"/>
        <w:spacing w:after="0" w:line="238" w:lineRule="auto"/>
        <w:rPr>
          <w:sz w:val="20"/>
          <w:szCs w:val="20"/>
          <w:color w:val="auto"/>
        </w:rPr>
      </w:pPr>
      <w:r>
        <w:rPr>
          <w:rFonts w:ascii="Courier New" w:cs="Courier New" w:eastAsia="Courier New" w:hAnsi="Courier New"/>
          <w:sz w:val="18"/>
          <w:szCs w:val="18"/>
          <w:color w:val="auto"/>
        </w:rPr>
        <w:t>HOGAN &amp; HARTSON L.L.P.</w:t>
      </w:r>
    </w:p>
    <w:p>
      <w:pPr>
        <w:ind w:left="2740"/>
        <w:spacing w:after="0"/>
        <w:rPr>
          <w:sz w:val="20"/>
          <w:szCs w:val="20"/>
          <w:color w:val="auto"/>
        </w:rPr>
      </w:pPr>
      <w:r>
        <w:rPr>
          <w:rFonts w:ascii="Courier New" w:cs="Courier New" w:eastAsia="Courier New" w:hAnsi="Courier New"/>
          <w:sz w:val="18"/>
          <w:szCs w:val="18"/>
          <w:color w:val="auto"/>
        </w:rPr>
        <w:t>555 Thirteenth Street, N.W.</w:t>
      </w:r>
    </w:p>
    <w:p>
      <w:pPr>
        <w:ind w:left="2740"/>
        <w:spacing w:after="0" w:line="237" w:lineRule="auto"/>
        <w:rPr>
          <w:sz w:val="20"/>
          <w:szCs w:val="20"/>
          <w:color w:val="auto"/>
        </w:rPr>
      </w:pPr>
      <w:r>
        <w:rPr>
          <w:rFonts w:ascii="Courier New" w:cs="Courier New" w:eastAsia="Courier New" w:hAnsi="Courier New"/>
          <w:sz w:val="18"/>
          <w:szCs w:val="18"/>
          <w:color w:val="auto"/>
        </w:rPr>
        <w:t>Washington, D.C. 20004-1109</w:t>
      </w:r>
    </w:p>
    <w:p>
      <w:pPr>
        <w:ind w:left="3380"/>
        <w:spacing w:after="0"/>
        <w:rPr>
          <w:sz w:val="20"/>
          <w:szCs w:val="20"/>
          <w:color w:val="auto"/>
        </w:rPr>
      </w:pPr>
      <w:r>
        <w:rPr>
          <w:rFonts w:ascii="Courier New" w:cs="Courier New" w:eastAsia="Courier New" w:hAnsi="Courier New"/>
          <w:sz w:val="18"/>
          <w:szCs w:val="18"/>
          <w:color w:val="auto"/>
        </w:rPr>
        <w:t>(202) 637-5600</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8" w:lineRule="exact"/>
        <w:rPr>
          <w:sz w:val="24"/>
          <w:szCs w:val="24"/>
          <w:color w:val="auto"/>
        </w:rPr>
      </w:pPr>
    </w:p>
    <w:p>
      <w:pPr>
        <w:ind w:right="2519"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209" w:lineRule="exact"/>
        <w:rPr>
          <w:sz w:val="24"/>
          <w:szCs w:val="24"/>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51" w:orient="portrait"/>
          <w:cols w:equalWidth="0" w:num="1">
            <w:col w:w="10219"/>
          </w:cols>
          <w:pgMar w:left="240" w:top="858" w:right="1440" w:bottom="0" w:gutter="0" w:footer="0" w:header="0"/>
        </w:sectPr>
      </w:pPr>
    </w:p>
    <w:bookmarkStart w:id="1" w:name="page2"/>
    <w:bookmarkEnd w:id="1"/>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344"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The following table sets forth those expenses for distribution to be incurred in connection with the issuance and distribution of the securities being registered.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7220" w:type="dxa"/>
            <w:vAlign w:val="bottom"/>
          </w:tcPr>
          <w:p>
            <w:pPr>
              <w:jc w:val="right"/>
              <w:spacing w:after="0"/>
              <w:rPr>
                <w:sz w:val="20"/>
                <w:szCs w:val="20"/>
                <w:color w:val="auto"/>
              </w:rPr>
            </w:pPr>
            <w:r>
              <w:rPr>
                <w:rFonts w:ascii="Courier New" w:cs="Courier New" w:eastAsia="Courier New" w:hAnsi="Courier New"/>
                <w:sz w:val="18"/>
                <w:szCs w:val="18"/>
                <w:color w:val="auto"/>
                <w:w w:val="97"/>
              </w:rPr>
              <w:t>Registration Fee....................................................</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82</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Duplicating Expenses...................................</w:t>
            </w: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50,000</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722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$65,082</w:t>
            </w:r>
          </w:p>
        </w:tc>
      </w:tr>
      <w:tr>
        <w:trPr>
          <w:trHeight w:val="203"/>
        </w:trPr>
        <w:tc>
          <w:tcPr>
            <w:tcW w:w="722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The Registrant's Articles of Amendment and Restatement of Articles of Incorporation authorize the Registrant, to the maximum extent permitted by Maryland law, to obligate itself to indemnify and to pay or reimburse reasonable expenses in advance of final disposition of a proceeding to (i) any present or former director or officer or (ii) any individual who, while a director of the Registrant and at the request of the Registrant, serves or has served another corporation, real estate investment trust, partnership, joint venture, trust, employee benefit plan or any other enterprise from and against any claim or liability to which such person may become subject or which such person may incur by reason of his or her status as a present or former director or officer of the Registrant. The Registrant's Bylaws obligate it, to the maximum extent permitted by Maryland law, to indemnify and to pay or reimburse reasonable expenses in advance of final disposition of a proceeding to (a) any present or former director or officer who is made a party to the proceeding by reason of his service in that capacity or (b) any individual who, while a director of the Registrant and at the request of the Registrant, serves or has served another corporation, real estate investment trust, partnership, joint venture, trust, employee benefit plan or other enterprise as a director, trustee, officer or partner of such corporation, real estate investment trust, partnership, joint venture, trust, employee benefit plan or other enterprise and who is made a party to the proceeding by reason of his service in that capacity, against any claim or liability to which he may become subject by reason of such status. The Registrant's Articles of Incorporation and Bylaws also permit the Registrant to indemnify and advance expenses to any person who served a predecessor of the Registrant in any of the capacities described above and to any employee or agent of the Registrant or a predecessor of the Registrant. The Registrant's Bylaws require the Registrant to indemnify a director or officer who has been successful, on the merits or otherwise, in the defense of any proceeding to which he is made a party by reason of his service in that capacity.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The Maryland General Corporation Law, as amended, permits a Maryland corporation to indemnify and advance expenses to its directors, officers, employees and agents, and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the Maryland General Corporation Law, a Maryland corporation may not indemnify a director or officer in a suit by or in the right of the corporation if such director or officer has been adjudged to be liable to the corporation. In accordance with the Maryland General Corporation Law, the Registrant's Bylaws require it, as a condition to advancing expenses, to obtain (1) a written affirmation by the director or officer of his good faith belief that he</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59" w:gutter="0" w:footer="0" w:header="0"/>
        </w:sectPr>
      </w:pPr>
    </w:p>
    <w:bookmarkStart w:id="3" w:name="page4"/>
    <w:bookmarkEnd w:id="3"/>
    <w:p>
      <w:pPr>
        <w:ind w:right="1879"/>
        <w:spacing w:after="0" w:line="275" w:lineRule="auto"/>
        <w:rPr>
          <w:sz w:val="20"/>
          <w:szCs w:val="20"/>
          <w:color w:val="auto"/>
        </w:rPr>
      </w:pPr>
      <w:r>
        <w:rPr>
          <w:rFonts w:ascii="Courier New" w:cs="Courier New" w:eastAsia="Courier New" w:hAnsi="Courier New"/>
          <w:sz w:val="16"/>
          <w:szCs w:val="16"/>
          <w:color w:val="auto"/>
        </w:rPr>
        <w:t>has met the standard of conduct necessary for indemnification by the Registrant as authorized by the Registrant's Bylaws and (2) a written statement by or on his behalf to repay the amount paid or reimbursed by the Registrant if it shall ultimately be determined that the standard of conduct was not met.</w:t>
      </w:r>
    </w:p>
    <w:p>
      <w:pPr>
        <w:spacing w:after="0" w:line="18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Registrant has entered into indemnification agreements with each of its directors and officers. The indemnification agreements require, among other things, that the Registrant indemnify its directors and officers to the fullest extent permitted by law and advance to its directors and officers all related expenses, subject to reimbursement if it is subsequently determined that indemnification is not permitted.</w:t>
      </w:r>
    </w:p>
    <w:p>
      <w:pPr>
        <w:spacing w:after="0" w:line="210"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Second Amended and Restated Agreement of Limited Partnership of Host Marriott, L.P., as amended, also provides for indemnification of the Registrant and its officers and directors to the same extent that indemnification is provided to officers and directors of the Registrant in its Articles of Incorporation, and limits the liability of the Registrant and its officers and directors to Host Marriott, L.P. and its respective partners to the same extent that the liability of the officers and directors of the Registrant to the Registrant and its stockholders is limited under the Articles of Incorporation.</w:t>
      </w:r>
    </w:p>
    <w:p>
      <w:pPr>
        <w:spacing w:after="0" w:line="18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3.1*</w:t>
            </w:r>
          </w:p>
        </w:tc>
        <w:tc>
          <w:tcPr>
            <w:tcW w:w="7000" w:type="dxa"/>
            <w:vAlign w:val="bottom"/>
          </w:tcPr>
          <w:p>
            <w:pPr>
              <w:ind w:left="60"/>
              <w:spacing w:after="0"/>
              <w:rPr>
                <w:sz w:val="20"/>
                <w:szCs w:val="20"/>
                <w:color w:val="auto"/>
              </w:rPr>
            </w:pPr>
            <w:r>
              <w:rPr>
                <w:rFonts w:ascii="Courier New" w:cs="Courier New" w:eastAsia="Courier New" w:hAnsi="Courier New"/>
                <w:sz w:val="18"/>
                <w:szCs w:val="18"/>
                <w:color w:val="auto"/>
              </w:rPr>
              <w:t>Bylaws of the Registrant dated December 29, 1998</w:t>
            </w:r>
          </w:p>
        </w:tc>
      </w:tr>
      <w:tr>
        <w:trPr>
          <w:trHeight w:val="203"/>
        </w:trPr>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Articles of Amendment and Restatement of Articles of Incorporation</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Registrant</w:t>
            </w:r>
          </w:p>
        </w:tc>
      </w:tr>
      <w:tr>
        <w:trPr>
          <w:trHeight w:val="203"/>
        </w:trPr>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Articles Supplementary of the Registrant Classifying and</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Designating a Series of Preferred Stock as Series A Junior</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Participating Preferred Stock and Fixing Distribution and Other</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Preferences and Rights of Such Series</w:t>
            </w:r>
          </w:p>
        </w:tc>
      </w:tr>
      <w:tr>
        <w:trPr>
          <w:trHeight w:val="203"/>
        </w:trPr>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Articles Supplementary of the Registrant Classifying and</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Designating Preferred Stock of the Registrant as 10% Class A</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Cumulative Redeemable Preferred Stock</w:t>
            </w:r>
          </w:p>
        </w:tc>
      </w:tr>
      <w:tr>
        <w:trPr>
          <w:trHeight w:val="203"/>
        </w:trPr>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Articles Supplementary of the Registrant Classifying and</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Designating Preferred Stock of the Registrant as 10% Class B</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Cumulative Redeemable Preferred Stock</w:t>
            </w:r>
          </w:p>
        </w:tc>
      </w:tr>
      <w:tr>
        <w:trPr>
          <w:trHeight w:val="203"/>
        </w:trPr>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 of Hogan &amp; Hartson L.L.P. regarding the legality of the</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 being registered</w:t>
            </w:r>
          </w:p>
        </w:tc>
      </w:tr>
      <w:tr>
        <w:trPr>
          <w:trHeight w:val="203"/>
        </w:trPr>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8.1</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Opinion of Hogan &amp; Hartson L.L.P. regarding specified tax matters</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12.1******</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Ratio of earnings to combined fixed charges and preferred stock</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dividends</w:t>
            </w:r>
          </w:p>
        </w:tc>
      </w:tr>
      <w:tr>
        <w:trPr>
          <w:trHeight w:val="203"/>
        </w:trPr>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23.1#</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Hogan &amp; Hartson L.L.P. (included in Exhibit 5.1)</w:t>
            </w:r>
          </w:p>
        </w:tc>
      </w:tr>
      <w:tr>
        <w:trPr>
          <w:trHeight w:val="203"/>
        </w:trPr>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23.2#</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Arthur Andersen LLP, independent public accountants</w:t>
            </w:r>
          </w:p>
        </w:tc>
      </w:tr>
      <w:tr>
        <w:trPr>
          <w:trHeight w:val="203"/>
        </w:trPr>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23.3</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Hogan &amp; Hartson L.L.P. (included in Exhibit 8.1)</w:t>
            </w:r>
          </w:p>
        </w:tc>
      </w:tr>
      <w:tr>
        <w:trPr>
          <w:trHeight w:val="203"/>
        </w:trPr>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24.1#</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 of Attorney (included in signature page)</w:t>
            </w:r>
          </w:p>
        </w:tc>
      </w:tr>
    </w:tbl>
    <w:p>
      <w:pPr>
        <w:spacing w:after="0" w:line="201"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2099" w:hanging="211"/>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Incorporated herein by reference to Exhibit 3.1 to the Registrant's Current Report on Form 8-K (Registration No. 001-14625) filed with the Commission on December 30, 1999</w:t>
      </w:r>
    </w:p>
    <w:p>
      <w:pPr>
        <w:spacing w:after="0" w:line="6" w:lineRule="exact"/>
        <w:rPr>
          <w:rFonts w:ascii="Courier New" w:cs="Courier New" w:eastAsia="Courier New" w:hAnsi="Courier New"/>
          <w:sz w:val="18"/>
          <w:szCs w:val="18"/>
          <w:color w:val="auto"/>
        </w:rPr>
      </w:pPr>
    </w:p>
    <w:p>
      <w:pPr>
        <w:ind w:left="740" w:right="2419" w:hanging="311"/>
        <w:spacing w:after="0" w:line="268" w:lineRule="auto"/>
        <w:tabs>
          <w:tab w:leader="none" w:pos="7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Exhibit 3.3 to the Registrant's Registration Statement on Form S-4 (Registration No. 333-64793)</w:t>
      </w:r>
    </w:p>
    <w:p>
      <w:pPr>
        <w:ind w:left="740" w:right="2199" w:hanging="416"/>
        <w:spacing w:after="0" w:line="236" w:lineRule="auto"/>
        <w:tabs>
          <w:tab w:leader="none" w:pos="7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herein by reference to Exhibit 4.2 to the Registrant's Registration Statement on Form 8-A (Registration No. 001-14625) filed with the Commission on December 11, 1998</w:t>
      </w:r>
    </w:p>
    <w:p>
      <w:pPr>
        <w:spacing w:after="0" w:line="6" w:lineRule="exact"/>
        <w:rPr>
          <w:rFonts w:ascii="Courier New" w:cs="Courier New" w:eastAsia="Courier New" w:hAnsi="Courier New"/>
          <w:sz w:val="18"/>
          <w:szCs w:val="18"/>
          <w:color w:val="auto"/>
        </w:rPr>
      </w:pPr>
    </w:p>
    <w:p>
      <w:pPr>
        <w:ind w:left="740" w:right="2199" w:hanging="521"/>
        <w:spacing w:after="0" w:line="236" w:lineRule="auto"/>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herein by reference to Exhibit 4.1 to the Registrant's Registration Statement on Form 8-A (Registration No. 001-14625) filed with the Commission on July 30, 1999</w:t>
      </w:r>
    </w:p>
    <w:p>
      <w:pPr>
        <w:spacing w:after="0" w:line="6" w:lineRule="exact"/>
        <w:rPr>
          <w:rFonts w:ascii="Courier New" w:cs="Courier New" w:eastAsia="Courier New" w:hAnsi="Courier New"/>
          <w:sz w:val="18"/>
          <w:szCs w:val="18"/>
          <w:color w:val="auto"/>
        </w:rPr>
      </w:pPr>
    </w:p>
    <w:p>
      <w:pPr>
        <w:ind w:left="740" w:right="2199" w:hanging="627"/>
        <w:spacing w:after="0" w:line="236" w:lineRule="auto"/>
        <w:tabs>
          <w:tab w:leader="none" w:pos="7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herein by reference to Exhibit 4.1 to the Registrant's Registration Statement on Form 8-A (Registration No. 001-14625) filed with the Commission on November 23, 1999</w:t>
      </w:r>
    </w:p>
    <w:p>
      <w:pPr>
        <w:spacing w:after="0" w:line="6" w:lineRule="exact"/>
        <w:rPr>
          <w:sz w:val="20"/>
          <w:szCs w:val="20"/>
          <w:color w:val="auto"/>
        </w:rPr>
      </w:pPr>
    </w:p>
    <w:p>
      <w:pPr>
        <w:ind w:left="740" w:right="231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w:t>
        <w:tab/>
        <w:t>Incorporated herein by reference to Exhibit 12.1 to the Registrant's Annual Report on Form 10-K for the year ended December 31, 1999 (Registration No. 001-14625)</w:t>
      </w:r>
    </w:p>
    <w:p>
      <w:pPr>
        <w:spacing w:after="0" w:line="1" w:lineRule="exact"/>
        <w:rPr>
          <w:sz w:val="20"/>
          <w:szCs w:val="20"/>
          <w:color w:val="auto"/>
        </w:rPr>
      </w:pPr>
    </w:p>
    <w:p>
      <w:pPr>
        <w:ind w:left="540"/>
        <w:spacing w:after="0"/>
        <w:tabs>
          <w:tab w:leader="none" w:pos="840" w:val="left"/>
        </w:tabs>
        <w:rPr>
          <w:sz w:val="20"/>
          <w:szCs w:val="20"/>
          <w:color w:val="auto"/>
        </w:rPr>
      </w:pPr>
      <w:r>
        <w:rPr>
          <w:rFonts w:ascii="Courier New" w:cs="Courier New" w:eastAsia="Courier New" w:hAnsi="Courier New"/>
          <w:sz w:val="18"/>
          <w:szCs w:val="18"/>
          <w:color w:val="auto"/>
        </w:rPr>
        <w:t>#</w:t>
        <w:tab/>
        <w:t>Previously filed.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59" w:gutter="0" w:footer="0" w:header="0"/>
        </w:sectPr>
      </w:pPr>
    </w:p>
    <w:bookmarkStart w:id="4" w:name="page5"/>
    <w:bookmarkEnd w:id="4"/>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17. Undertakings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2199" w:firstLine="324"/>
        <w:spacing w:after="0" w:line="235" w:lineRule="auto"/>
        <w:tabs>
          <w:tab w:leader="none" w:pos="7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220" w:right="2839" w:firstLine="315"/>
        <w:spacing w:after="0" w:line="235" w:lineRule="auto"/>
        <w:tabs>
          <w:tab w:leader="none" w:pos="957"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220" w:right="2099" w:firstLine="315"/>
        <w:spacing w:after="0" w:line="238" w:lineRule="auto"/>
        <w:tabs>
          <w:tab w:leader="none" w:pos="1063"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07" w:lineRule="exact"/>
        <w:rPr>
          <w:rFonts w:ascii="Courier New" w:cs="Courier New" w:eastAsia="Courier New" w:hAnsi="Courier New"/>
          <w:sz w:val="18"/>
          <w:szCs w:val="18"/>
          <w:color w:val="auto"/>
        </w:rPr>
      </w:pPr>
    </w:p>
    <w:p>
      <w:pPr>
        <w:ind w:left="220" w:right="2199" w:firstLine="315"/>
        <w:spacing w:after="0" w:line="236" w:lineRule="auto"/>
        <w:tabs>
          <w:tab w:leader="none" w:pos="1168"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registration statement is on Form S-3, Form S-8 or Form F-3, and the information required to be included in a post-effective amendment by those paragraphs is contained in the periodic reports filed by the registrant pursuant to Section 13 or Section 15(d) of the Securities Exchange Act of 1934 that are incorporated by reference in this registration statement.</w:t>
      </w:r>
    </w:p>
    <w:p>
      <w:pPr>
        <w:spacing w:after="0" w:line="210" w:lineRule="exact"/>
        <w:rPr>
          <w:sz w:val="20"/>
          <w:szCs w:val="20"/>
          <w:color w:val="auto"/>
        </w:rPr>
      </w:pPr>
    </w:p>
    <w:p>
      <w:pPr>
        <w:ind w:right="1879" w:firstLine="324"/>
        <w:spacing w:after="0" w:line="237" w:lineRule="auto"/>
        <w:tabs>
          <w:tab w:leader="none" w:pos="73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2099" w:firstLine="324"/>
        <w:spacing w:after="0" w:line="236" w:lineRule="auto"/>
        <w:tabs>
          <w:tab w:leader="none" w:pos="73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undersigned Registrant hereby further undertakes that, for the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provisions described under Item 15 of this registration statement, or otherwise (other than insurance), the Registrant has been advised that in the opinion of the Securities and Exchange Commission such indemnification is against public policy as expressed in such Act and is, therefore, unenforceable. In the event that a claim for indemnification against such liabilities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564" w:gutter="0" w:footer="0" w:header="0"/>
        </w:sectPr>
      </w:pPr>
    </w:p>
    <w:bookmarkStart w:id="5" w:name="page6"/>
    <w:bookmarkEnd w:id="5"/>
    <w:p>
      <w:pPr>
        <w:ind w:right="2319"/>
        <w:spacing w:after="0" w:line="237" w:lineRule="auto"/>
        <w:rPr>
          <w:sz w:val="20"/>
          <w:szCs w:val="20"/>
          <w:color w:val="auto"/>
        </w:rPr>
      </w:pPr>
      <w:r>
        <w:rPr>
          <w:rFonts w:ascii="Courier New" w:cs="Courier New" w:eastAsia="Courier New" w:hAnsi="Courier New"/>
          <w:sz w:val="18"/>
          <w:szCs w:val="18"/>
          <w:color w:val="auto"/>
        </w:rPr>
        <w:t>(other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in Bethesda, Maryland, on January 31, 2001.</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Host Marriott Corporation</w:t>
      </w:r>
    </w:p>
    <w:p>
      <w:pPr>
        <w:spacing w:after="0" w:line="201"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w:t>
      </w:r>
    </w:p>
    <w:p>
      <w:pPr>
        <w:ind w:left="4440"/>
        <w:spacing w:after="0" w:line="238" w:lineRule="auto"/>
        <w:rPr>
          <w:sz w:val="20"/>
          <w:szCs w:val="20"/>
          <w:color w:val="auto"/>
        </w:rPr>
      </w:pPr>
      <w:r>
        <w:rPr>
          <w:rFonts w:ascii="Courier New" w:cs="Courier New" w:eastAsia="Courier New" w:hAnsi="Courier New"/>
          <w:sz w:val="18"/>
          <w:szCs w:val="18"/>
          <w:color w:val="auto"/>
        </w:rPr>
        <w:t>By: _________________________________</w:t>
      </w:r>
    </w:p>
    <w:p>
      <w:pPr>
        <w:ind w:left="5280"/>
        <w:spacing w:after="0"/>
        <w:rPr>
          <w:sz w:val="20"/>
          <w:szCs w:val="20"/>
          <w:color w:val="auto"/>
        </w:rPr>
      </w:pPr>
      <w:r>
        <w:rPr>
          <w:rFonts w:ascii="Courier New" w:cs="Courier New" w:eastAsia="Courier New" w:hAnsi="Courier New"/>
          <w:sz w:val="18"/>
          <w:szCs w:val="18"/>
          <w:color w:val="auto"/>
        </w:rPr>
        <w:t>Robert E. Parsons, Jr.</w:t>
      </w:r>
    </w:p>
    <w:p>
      <w:pPr>
        <w:ind w:left="4960"/>
        <w:spacing w:after="0" w:line="237" w:lineRule="auto"/>
        <w:rPr>
          <w:sz w:val="20"/>
          <w:szCs w:val="20"/>
          <w:color w:val="auto"/>
        </w:rPr>
      </w:pPr>
      <w:r>
        <w:rPr>
          <w:rFonts w:ascii="Courier New" w:cs="Courier New" w:eastAsia="Courier New" w:hAnsi="Courier New"/>
          <w:sz w:val="18"/>
          <w:szCs w:val="18"/>
          <w:color w:val="auto"/>
        </w:rPr>
        <w:t>Executive Vice President and</w:t>
      </w:r>
    </w:p>
    <w:p>
      <w:pPr>
        <w:ind w:left="528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8" w:lineRule="exact"/>
        <w:rPr>
          <w:sz w:val="20"/>
          <w:szCs w:val="20"/>
          <w:color w:val="auto"/>
        </w:rPr>
      </w:pPr>
    </w:p>
    <w:p>
      <w:pPr>
        <w:ind w:right="283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as of January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Signature</w:t>
            </w:r>
          </w:p>
        </w:tc>
        <w:tc>
          <w:tcPr>
            <w:tcW w:w="5040" w:type="dxa"/>
            <w:vAlign w:val="bottom"/>
          </w:tcPr>
          <w:p>
            <w:pPr>
              <w:ind w:left="242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504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5040" w:type="dxa"/>
            <w:vAlign w:val="bottom"/>
          </w:tcPr>
          <w:p>
            <w:pPr>
              <w:ind w:left="100"/>
              <w:spacing w:after="0"/>
              <w:rPr>
                <w:sz w:val="20"/>
                <w:szCs w:val="20"/>
                <w:color w:val="auto"/>
              </w:rPr>
            </w:pPr>
            <w:r>
              <w:rPr>
                <w:rFonts w:ascii="Courier New" w:cs="Courier New" w:eastAsia="Courier New" w:hAnsi="Courier New"/>
                <w:sz w:val="18"/>
                <w:szCs w:val="18"/>
                <w:color w:val="auto"/>
                <w:w w:val="96"/>
              </w:rPr>
              <w:t>President, Chief Executive Officer and Director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5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(principal executive officer)</w:t>
            </w:r>
          </w:p>
        </w:tc>
      </w:tr>
      <w:tr>
        <w:trPr>
          <w:trHeight w:val="203"/>
        </w:trPr>
        <w:tc>
          <w:tcPr>
            <w:tcW w:w="40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Christopher J. Nassetta</w:t>
            </w:r>
          </w:p>
        </w:tc>
        <w:tc>
          <w:tcPr>
            <w:tcW w:w="5040" w:type="dxa"/>
            <w:vAlign w:val="bottom"/>
          </w:tcPr>
          <w:p>
            <w:pPr>
              <w:spacing w:after="0"/>
              <w:rPr>
                <w:sz w:val="17"/>
                <w:szCs w:val="17"/>
                <w:color w:val="auto"/>
              </w:rPr>
            </w:pPr>
          </w:p>
        </w:tc>
      </w:tr>
      <w:tr>
        <w:trPr>
          <w:trHeight w:val="405"/>
        </w:trPr>
        <w:tc>
          <w:tcPr>
            <w:tcW w:w="402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5040" w:type="dxa"/>
            <w:vAlign w:val="bottom"/>
          </w:tcPr>
          <w:p>
            <w:pPr>
              <w:ind w:left="100"/>
              <w:spacing w:after="0"/>
              <w:rPr>
                <w:sz w:val="20"/>
                <w:szCs w:val="20"/>
                <w:color w:val="auto"/>
              </w:rPr>
            </w:pPr>
            <w:r>
              <w:rPr>
                <w:rFonts w:ascii="Courier New" w:cs="Courier New" w:eastAsia="Courier New" w:hAnsi="Courier New"/>
                <w:sz w:val="18"/>
                <w:szCs w:val="18"/>
                <w:color w:val="auto"/>
              </w:rPr>
              <w:t>Executive Vice President and Chief Financial</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5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 (principal financial officer)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Robert E. Parsons, Jr.</w:t>
            </w:r>
          </w:p>
        </w:tc>
        <w:tc>
          <w:tcPr>
            <w:tcW w:w="5040" w:type="dxa"/>
            <w:vAlign w:val="bottom"/>
          </w:tcPr>
          <w:p>
            <w:pPr>
              <w:spacing w:after="0"/>
              <w:rPr>
                <w:sz w:val="17"/>
                <w:szCs w:val="17"/>
                <w:color w:val="auto"/>
              </w:rPr>
            </w:pPr>
          </w:p>
        </w:tc>
      </w:tr>
      <w:tr>
        <w:trPr>
          <w:trHeight w:val="405"/>
        </w:trPr>
        <w:tc>
          <w:tcPr>
            <w:tcW w:w="402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5040" w:type="dxa"/>
            <w:vAlign w:val="bottom"/>
          </w:tcPr>
          <w:p>
            <w:pPr>
              <w:ind w:left="100"/>
              <w:spacing w:after="0"/>
              <w:rPr>
                <w:sz w:val="20"/>
                <w:szCs w:val="20"/>
                <w:color w:val="auto"/>
              </w:rPr>
            </w:pPr>
            <w:r>
              <w:rPr>
                <w:rFonts w:ascii="Courier New" w:cs="Courier New" w:eastAsia="Courier New" w:hAnsi="Courier New"/>
                <w:sz w:val="18"/>
                <w:szCs w:val="18"/>
                <w:color w:val="auto"/>
                <w:w w:val="99"/>
              </w:rPr>
              <w:t>Senior Vice President and Corporate Controller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5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(principal accounting officer)</w:t>
            </w: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Donald D. Olinger</w:t>
            </w:r>
          </w:p>
        </w:tc>
        <w:tc>
          <w:tcPr>
            <w:tcW w:w="5040" w:type="dxa"/>
            <w:vAlign w:val="bottom"/>
          </w:tcPr>
          <w:p>
            <w:pPr>
              <w:spacing w:after="0"/>
              <w:rPr>
                <w:sz w:val="17"/>
                <w:szCs w:val="17"/>
                <w:color w:val="auto"/>
              </w:rPr>
            </w:pPr>
          </w:p>
        </w:tc>
      </w:tr>
      <w:tr>
        <w:trPr>
          <w:trHeight w:val="405"/>
        </w:trPr>
        <w:tc>
          <w:tcPr>
            <w:tcW w:w="402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5040" w:type="dxa"/>
            <w:vAlign w:val="bottom"/>
          </w:tcPr>
          <w:p>
            <w:pPr>
              <w:ind w:left="100"/>
              <w:spacing w:after="0"/>
              <w:rPr>
                <w:sz w:val="20"/>
                <w:szCs w:val="20"/>
                <w:color w:val="auto"/>
              </w:rPr>
            </w:pPr>
            <w:r>
              <w:rPr>
                <w:rFonts w:ascii="Courier New" w:cs="Courier New" w:eastAsia="Courier New" w:hAnsi="Courier New"/>
                <w:sz w:val="18"/>
                <w:szCs w:val="18"/>
                <w:color w:val="auto"/>
              </w:rPr>
              <w:t>Chairman of the Board of Directors</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5040" w:type="dxa"/>
            <w:vAlign w:val="bottom"/>
          </w:tcPr>
          <w:p>
            <w:pPr>
              <w:spacing w:after="0"/>
              <w:rPr>
                <w:sz w:val="17"/>
                <w:szCs w:val="17"/>
                <w:color w:val="auto"/>
              </w:rPr>
            </w:pP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Richard E. Marriott</w:t>
            </w:r>
          </w:p>
        </w:tc>
        <w:tc>
          <w:tcPr>
            <w:tcW w:w="5040" w:type="dxa"/>
            <w:vAlign w:val="bottom"/>
          </w:tcPr>
          <w:p>
            <w:pPr>
              <w:spacing w:after="0"/>
              <w:rPr>
                <w:sz w:val="17"/>
                <w:szCs w:val="17"/>
                <w:color w:val="auto"/>
              </w:rPr>
            </w:pPr>
          </w:p>
        </w:tc>
      </w:tr>
      <w:tr>
        <w:trPr>
          <w:trHeight w:val="405"/>
        </w:trPr>
        <w:tc>
          <w:tcPr>
            <w:tcW w:w="402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50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5040" w:type="dxa"/>
            <w:vAlign w:val="bottom"/>
          </w:tcPr>
          <w:p>
            <w:pPr>
              <w:spacing w:after="0"/>
              <w:rPr>
                <w:sz w:val="17"/>
                <w:szCs w:val="17"/>
                <w:color w:val="auto"/>
              </w:rPr>
            </w:pP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R. Theodore Ammon</w:t>
            </w:r>
          </w:p>
        </w:tc>
        <w:tc>
          <w:tcPr>
            <w:tcW w:w="504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50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5040" w:type="dxa"/>
            <w:vAlign w:val="bottom"/>
          </w:tcPr>
          <w:p>
            <w:pPr>
              <w:spacing w:after="0"/>
              <w:rPr>
                <w:sz w:val="17"/>
                <w:szCs w:val="17"/>
                <w:color w:val="auto"/>
              </w:rPr>
            </w:pP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Robert M. Baylis</w:t>
            </w:r>
          </w:p>
        </w:tc>
        <w:tc>
          <w:tcPr>
            <w:tcW w:w="504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50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5040" w:type="dxa"/>
            <w:vAlign w:val="bottom"/>
          </w:tcPr>
          <w:p>
            <w:pPr>
              <w:spacing w:after="0"/>
              <w:rPr>
                <w:sz w:val="17"/>
                <w:szCs w:val="17"/>
                <w:color w:val="auto"/>
              </w:rPr>
            </w:pP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J.W. Marriott, Jr.</w:t>
            </w:r>
          </w:p>
        </w:tc>
        <w:tc>
          <w:tcPr>
            <w:tcW w:w="504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50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5040" w:type="dxa"/>
            <w:vAlign w:val="bottom"/>
          </w:tcPr>
          <w:p>
            <w:pPr>
              <w:spacing w:after="0"/>
              <w:rPr>
                <w:sz w:val="17"/>
                <w:szCs w:val="17"/>
                <w:color w:val="auto"/>
              </w:rPr>
            </w:pP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Ann Dore McLaughlin</w:t>
            </w:r>
          </w:p>
        </w:tc>
        <w:tc>
          <w:tcPr>
            <w:tcW w:w="5040" w:type="dxa"/>
            <w:vAlign w:val="bottom"/>
          </w:tcPr>
          <w:p>
            <w:pPr>
              <w:spacing w:after="0"/>
              <w:rPr>
                <w:sz w:val="17"/>
                <w:szCs w:val="17"/>
                <w:color w:val="auto"/>
              </w:rPr>
            </w:pPr>
          </w:p>
        </w:tc>
      </w:tr>
      <w:tr>
        <w:trPr>
          <w:trHeight w:val="608"/>
        </w:trPr>
        <w:tc>
          <w:tcPr>
            <w:tcW w:w="40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Courier New" w:cs="Courier New" w:eastAsia="Courier New" w:hAnsi="Courier New"/>
                <w:sz w:val="18"/>
                <w:szCs w:val="18"/>
                <w:color w:val="auto"/>
              </w:rPr>
              <w:t>II-5</w:t>
            </w:r>
          </w:p>
        </w:tc>
      </w:tr>
    </w:tbl>
    <w:p>
      <w:pPr>
        <w:sectPr>
          <w:pgSz w:w="11900" w:h="16838" w:orient="portrait"/>
          <w:cols w:equalWidth="0" w:num="1">
            <w:col w:w="10219"/>
          </w:cols>
          <w:pgMar w:left="240" w:top="717"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Signature</w:t>
            </w:r>
          </w:p>
        </w:tc>
        <w:tc>
          <w:tcPr>
            <w:tcW w:w="2940" w:type="dxa"/>
            <w:vAlign w:val="bottom"/>
          </w:tcPr>
          <w:p>
            <w:pPr>
              <w:ind w:left="2420"/>
              <w:spacing w:after="0"/>
              <w:rPr>
                <w:sz w:val="20"/>
                <w:szCs w:val="20"/>
                <w:color w:val="auto"/>
              </w:rPr>
            </w:pPr>
            <w:r>
              <w:rPr>
                <w:rFonts w:ascii="Courier New" w:cs="Courier New" w:eastAsia="Courier New" w:hAnsi="Courier New"/>
                <w:sz w:val="18"/>
                <w:szCs w:val="18"/>
                <w:color w:val="auto"/>
                <w:w w:val="92"/>
              </w:rPr>
              <w:t>Title</w:t>
            </w: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294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608"/>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2940" w:type="dxa"/>
            <w:vAlign w:val="bottom"/>
          </w:tcPr>
          <w:p>
            <w:pPr>
              <w:spacing w:after="0"/>
              <w:rPr>
                <w:sz w:val="17"/>
                <w:szCs w:val="17"/>
                <w:color w:val="auto"/>
              </w:rPr>
            </w:pP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Terence C. Golden</w:t>
            </w:r>
          </w:p>
        </w:tc>
        <w:tc>
          <w:tcPr>
            <w:tcW w:w="294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2940" w:type="dxa"/>
            <w:vAlign w:val="bottom"/>
          </w:tcPr>
          <w:p>
            <w:pPr>
              <w:spacing w:after="0"/>
              <w:rPr>
                <w:sz w:val="17"/>
                <w:szCs w:val="17"/>
                <w:color w:val="auto"/>
              </w:rPr>
            </w:pP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John G. Schreiber</w:t>
            </w:r>
          </w:p>
        </w:tc>
        <w:tc>
          <w:tcPr>
            <w:tcW w:w="294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2940" w:type="dxa"/>
            <w:vAlign w:val="bottom"/>
          </w:tcPr>
          <w:p>
            <w:pPr>
              <w:spacing w:after="0"/>
              <w:rPr>
                <w:sz w:val="17"/>
                <w:szCs w:val="17"/>
                <w:color w:val="auto"/>
              </w:rPr>
            </w:pP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Harry L. Vincent, Jr.</w:t>
            </w:r>
          </w:p>
        </w:tc>
        <w:tc>
          <w:tcPr>
            <w:tcW w:w="2940" w:type="dxa"/>
            <w:vAlign w:val="bottom"/>
          </w:tcPr>
          <w:p>
            <w:pPr>
              <w:spacing w:after="0"/>
              <w:rPr>
                <w:sz w:val="17"/>
                <w:szCs w:val="17"/>
                <w:color w:val="auto"/>
              </w:rPr>
            </w:pPr>
          </w:p>
        </w:tc>
      </w:tr>
      <w:tr>
        <w:trPr>
          <w:trHeight w:val="608"/>
        </w:trPr>
        <w:tc>
          <w:tcPr>
            <w:tcW w:w="402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/s/ Christopher G. Townsend</w:t>
            </w:r>
          </w:p>
        </w:tc>
        <w:tc>
          <w:tcPr>
            <w:tcW w:w="2940" w:type="dxa"/>
            <w:vAlign w:val="bottom"/>
          </w:tcPr>
          <w:p>
            <w:pPr>
              <w:spacing w:after="0"/>
              <w:rPr>
                <w:sz w:val="24"/>
                <w:szCs w:val="24"/>
                <w:color w:val="auto"/>
              </w:rPr>
            </w:pPr>
          </w:p>
        </w:tc>
      </w:tr>
      <w:tr>
        <w:trPr>
          <w:trHeight w:val="203"/>
        </w:trPr>
        <w:tc>
          <w:tcPr>
            <w:tcW w:w="40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By: _________________________________</w:t>
            </w:r>
          </w:p>
        </w:tc>
        <w:tc>
          <w:tcPr>
            <w:tcW w:w="2940" w:type="dxa"/>
            <w:vAlign w:val="bottom"/>
          </w:tcPr>
          <w:p>
            <w:pPr>
              <w:spacing w:after="0"/>
              <w:rPr>
                <w:sz w:val="17"/>
                <w:szCs w:val="17"/>
                <w:color w:val="auto"/>
              </w:rPr>
            </w:pPr>
          </w:p>
        </w:tc>
      </w:tr>
      <w:tr>
        <w:trPr>
          <w:trHeight w:val="203"/>
        </w:trPr>
        <w:tc>
          <w:tcPr>
            <w:tcW w:w="402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Christopher G. Townsend</w:t>
            </w:r>
          </w:p>
        </w:tc>
        <w:tc>
          <w:tcPr>
            <w:tcW w:w="2940" w:type="dxa"/>
            <w:vAlign w:val="bottom"/>
          </w:tcPr>
          <w:p>
            <w:pPr>
              <w:spacing w:after="0"/>
              <w:rPr>
                <w:sz w:val="17"/>
                <w:szCs w:val="17"/>
                <w:color w:val="auto"/>
              </w:rPr>
            </w:pP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Attorney-in-fact</w:t>
            </w:r>
          </w:p>
        </w:tc>
        <w:tc>
          <w:tcPr>
            <w:tcW w:w="2940" w:type="dxa"/>
            <w:vAlign w:val="bottom"/>
          </w:tcPr>
          <w:p>
            <w:pPr>
              <w:spacing w:after="0"/>
              <w:rPr>
                <w:sz w:val="17"/>
                <w:szCs w:val="17"/>
                <w:color w:val="auto"/>
              </w:rPr>
            </w:pPr>
          </w:p>
        </w:tc>
      </w:tr>
      <w:tr>
        <w:trPr>
          <w:trHeight w:val="405"/>
        </w:trPr>
        <w:tc>
          <w:tcPr>
            <w:tcW w:w="402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II-6</w:t>
            </w:r>
          </w:p>
        </w:tc>
      </w:tr>
    </w:tbl>
    <w:p>
      <w:pPr>
        <w:sectPr>
          <w:pgSz w:w="11900" w:h="16838" w:orient="portrait"/>
          <w:cols w:equalWidth="0" w:num="1">
            <w:col w:w="10219"/>
          </w:cols>
          <w:pgMar w:left="240" w:top="1122" w:right="1440" w:bottom="1440" w:gutter="0" w:footer="0" w:header="0"/>
        </w:sectPr>
      </w:pPr>
    </w:p>
    <w:bookmarkStart w:id="8" w:name="page9"/>
    <w:bookmarkEnd w:id="8"/>
    <w:p>
      <w:pPr>
        <w:spacing w:after="0" w:line="1" w:lineRule="exact"/>
        <w:rPr>
          <w:sz w:val="20"/>
          <w:szCs w:val="20"/>
          <w:color w:val="auto"/>
        </w:rPr>
      </w:pPr>
    </w:p>
    <w:tbl>
      <w:tblPr>
        <w:tblLayout w:type="fixed"/>
        <w:tblInd w:w="112"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7000" w:type="dxa"/>
            <w:vAlign w:val="bottom"/>
          </w:tcPr>
          <w:p>
            <w:pPr>
              <w:ind w:left="2060"/>
              <w:spacing w:after="0"/>
              <w:rPr>
                <w:sz w:val="20"/>
                <w:szCs w:val="20"/>
                <w:color w:val="auto"/>
              </w:rPr>
            </w:pPr>
            <w:r>
              <w:rPr>
                <w:rFonts w:ascii="Courier New" w:cs="Courier New" w:eastAsia="Courier New" w:hAnsi="Courier New"/>
                <w:sz w:val="18"/>
                <w:szCs w:val="18"/>
                <w:color w:val="auto"/>
              </w:rPr>
              <w:t>INDEX TO EXHIBITS</w:t>
            </w:r>
          </w:p>
        </w:tc>
      </w:tr>
      <w:tr>
        <w:trPr>
          <w:trHeight w:val="810"/>
        </w:trPr>
        <w:tc>
          <w:tcPr>
            <w:tcW w:w="1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3.1*</w:t>
            </w:r>
          </w:p>
        </w:tc>
        <w:tc>
          <w:tcPr>
            <w:tcW w:w="7000" w:type="dxa"/>
            <w:vAlign w:val="bottom"/>
          </w:tcPr>
          <w:p>
            <w:pPr>
              <w:ind w:left="60"/>
              <w:spacing w:after="0"/>
              <w:rPr>
                <w:sz w:val="20"/>
                <w:szCs w:val="20"/>
                <w:color w:val="auto"/>
              </w:rPr>
            </w:pPr>
            <w:r>
              <w:rPr>
                <w:rFonts w:ascii="Courier New" w:cs="Courier New" w:eastAsia="Courier New" w:hAnsi="Courier New"/>
                <w:sz w:val="18"/>
                <w:szCs w:val="18"/>
                <w:color w:val="auto"/>
              </w:rPr>
              <w:t>Bylaws of the Registrant dated December 29, 1998</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Articles of Amendment and Restatement of Articles of Incorporation</w:t>
            </w:r>
          </w:p>
        </w:tc>
      </w:tr>
      <w:tr>
        <w:trPr>
          <w:trHeight w:val="203"/>
        </w:trPr>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Registrant</w:t>
            </w:r>
          </w:p>
        </w:tc>
      </w:tr>
      <w:tr>
        <w:trPr>
          <w:trHeight w:val="203"/>
        </w:trPr>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Articles Supplementary of the Registrant Classifying and</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Designating a Series of Preferred Stock as Series A Junior</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Participating Preferred Stock and Fixing Distribution and Other</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Preferences and Rights of Such Series</w:t>
            </w:r>
          </w:p>
        </w:tc>
      </w:tr>
      <w:tr>
        <w:trPr>
          <w:trHeight w:val="203"/>
        </w:trPr>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Articles Supplementary of the Registrant Classifying and</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Designating Preferred Stock of the Registrant as 10% Class A</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Cumulative Redeemable Preferred Stock</w:t>
            </w:r>
          </w:p>
        </w:tc>
      </w:tr>
      <w:tr>
        <w:trPr>
          <w:trHeight w:val="203"/>
        </w:trPr>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Articles Supplementary of the Registrant Classifying and</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Designating Preferred Stock of the Registrant as 10% Class B</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Cumulative Redeemable Preferred Stock</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 of Hogan &amp; Hartson L.L.P. regarding the legality of the</w:t>
            </w:r>
          </w:p>
        </w:tc>
      </w:tr>
      <w:tr>
        <w:trPr>
          <w:trHeight w:val="203"/>
        </w:trPr>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 being registered</w:t>
            </w:r>
          </w:p>
        </w:tc>
      </w:tr>
      <w:tr>
        <w:trPr>
          <w:trHeight w:val="203"/>
        </w:trPr>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8.1</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Opinion of Hogan &amp; Hartson L.L.P. regarding specified tax matters</w:t>
            </w:r>
          </w:p>
        </w:tc>
      </w:tr>
      <w:tr>
        <w:trPr>
          <w:trHeight w:val="203"/>
        </w:trPr>
        <w:tc>
          <w:tcPr>
            <w:tcW w:w="1100" w:type="dxa"/>
            <w:vAlign w:val="bottom"/>
          </w:tcPr>
          <w:p>
            <w:pPr>
              <w:spacing w:after="0"/>
              <w:rPr>
                <w:sz w:val="17"/>
                <w:szCs w:val="17"/>
                <w:color w:val="auto"/>
              </w:rPr>
            </w:pP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Ratio of earnings to combined fixed charges and preferred stock</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12.1******</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dividends</w:t>
            </w:r>
          </w:p>
        </w:tc>
      </w:tr>
      <w:tr>
        <w:trPr>
          <w:trHeight w:val="203"/>
        </w:trPr>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23.1#</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Hogan &amp; Hartson L.L.P. (included in Exhibit 5.1)</w:t>
            </w:r>
          </w:p>
        </w:tc>
      </w:tr>
      <w:tr>
        <w:trPr>
          <w:trHeight w:val="203"/>
        </w:trPr>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23.2#</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Arthur Andersen LLP, independent public accountants</w:t>
            </w:r>
          </w:p>
        </w:tc>
      </w:tr>
      <w:tr>
        <w:trPr>
          <w:trHeight w:val="203"/>
        </w:trPr>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23.3</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Hogan &amp; Hartson L.L.P. (included in Exhibit 8.1)</w:t>
            </w:r>
          </w:p>
        </w:tc>
      </w:tr>
      <w:tr>
        <w:trPr>
          <w:trHeight w:val="203"/>
        </w:trPr>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24.1#</w:t>
            </w:r>
          </w:p>
        </w:tc>
        <w:tc>
          <w:tcPr>
            <w:tcW w:w="7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 of Attorney (included in signature page)</w:t>
            </w:r>
          </w:p>
        </w:tc>
      </w:tr>
    </w:tbl>
    <w:p>
      <w:pPr>
        <w:spacing w:after="0" w:line="201"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32" w:right="2099" w:hanging="211"/>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Incorporated herein by reference to Exhibit 3.1 to the Registrant's Current Report on Form 8-K (Registration No. 001-14625) filed with the Commission on December 30, 1999</w:t>
      </w:r>
    </w:p>
    <w:p>
      <w:pPr>
        <w:spacing w:after="0" w:line="6" w:lineRule="exact"/>
        <w:rPr>
          <w:rFonts w:ascii="Courier New" w:cs="Courier New" w:eastAsia="Courier New" w:hAnsi="Courier New"/>
          <w:sz w:val="18"/>
          <w:szCs w:val="18"/>
          <w:color w:val="auto"/>
        </w:rPr>
      </w:pPr>
    </w:p>
    <w:p>
      <w:pPr>
        <w:ind w:left="732" w:right="2419" w:hanging="311"/>
        <w:spacing w:after="0" w:line="268" w:lineRule="auto"/>
        <w:tabs>
          <w:tab w:leader="none" w:pos="732"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Exhibit 3.3 to the Registrant's Registration Statement on Form S-4 (Registration No. 333-64793)</w:t>
      </w:r>
    </w:p>
    <w:p>
      <w:pPr>
        <w:ind w:left="732" w:right="2199" w:hanging="416"/>
        <w:spacing w:after="0" w:line="236" w:lineRule="auto"/>
        <w:tabs>
          <w:tab w:leader="none" w:pos="73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herein by reference to Exhibit 4.2 to the Registrant's Registration Statement on Form 8-A (Registration No. 001-14625) filed with the Commission on December 11, 1998</w:t>
      </w:r>
    </w:p>
    <w:p>
      <w:pPr>
        <w:spacing w:after="0" w:line="6" w:lineRule="exact"/>
        <w:rPr>
          <w:rFonts w:ascii="Courier New" w:cs="Courier New" w:eastAsia="Courier New" w:hAnsi="Courier New"/>
          <w:sz w:val="18"/>
          <w:szCs w:val="18"/>
          <w:color w:val="auto"/>
        </w:rPr>
      </w:pPr>
    </w:p>
    <w:p>
      <w:pPr>
        <w:ind w:left="732" w:right="2199" w:hanging="521"/>
        <w:spacing w:after="0" w:line="236" w:lineRule="auto"/>
        <w:tabs>
          <w:tab w:leader="none" w:pos="73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herein by reference to Exhibit 4.1 to the Registrant's Registration Statement on Form 8-A (Registration No. 001-14625) filed with the Commission on July 30, 1999</w:t>
      </w:r>
    </w:p>
    <w:p>
      <w:pPr>
        <w:spacing w:after="0" w:line="6" w:lineRule="exact"/>
        <w:rPr>
          <w:rFonts w:ascii="Courier New" w:cs="Courier New" w:eastAsia="Courier New" w:hAnsi="Courier New"/>
          <w:sz w:val="18"/>
          <w:szCs w:val="18"/>
          <w:color w:val="auto"/>
        </w:rPr>
      </w:pPr>
    </w:p>
    <w:p>
      <w:pPr>
        <w:ind w:left="732" w:right="2199" w:hanging="627"/>
        <w:spacing w:after="0" w:line="268" w:lineRule="auto"/>
        <w:tabs>
          <w:tab w:leader="none" w:pos="732"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Exhibit 4.1 to the Registrant's Registration Statement on Form 8-A (Registration No. 001-14625) filed</w:t>
      </w:r>
    </w:p>
    <w:p>
      <w:pPr>
        <w:ind w:left="732"/>
        <w:spacing w:after="0" w:line="233" w:lineRule="auto"/>
        <w:rPr>
          <w:sz w:val="20"/>
          <w:szCs w:val="20"/>
          <w:color w:val="auto"/>
        </w:rPr>
      </w:pPr>
      <w:r>
        <w:rPr>
          <w:rFonts w:ascii="Courier New" w:cs="Courier New" w:eastAsia="Courier New" w:hAnsi="Courier New"/>
          <w:sz w:val="18"/>
          <w:szCs w:val="18"/>
          <w:color w:val="auto"/>
        </w:rPr>
        <w:t>with the Commission on November 23, 1999</w:t>
      </w:r>
    </w:p>
    <w:p>
      <w:pPr>
        <w:spacing w:after="0" w:line="5" w:lineRule="exact"/>
        <w:rPr>
          <w:sz w:val="20"/>
          <w:szCs w:val="20"/>
          <w:color w:val="auto"/>
        </w:rPr>
      </w:pPr>
    </w:p>
    <w:p>
      <w:pPr>
        <w:ind w:left="732" w:right="2319" w:hanging="739"/>
        <w:spacing w:after="0" w:line="236" w:lineRule="auto"/>
        <w:tabs>
          <w:tab w:leader="none" w:pos="712" w:val="left"/>
        </w:tabs>
        <w:rPr>
          <w:sz w:val="20"/>
          <w:szCs w:val="20"/>
          <w:color w:val="auto"/>
        </w:rPr>
      </w:pPr>
      <w:r>
        <w:rPr>
          <w:rFonts w:ascii="Courier New" w:cs="Courier New" w:eastAsia="Courier New" w:hAnsi="Courier New"/>
          <w:sz w:val="18"/>
          <w:szCs w:val="18"/>
          <w:color w:val="auto"/>
        </w:rPr>
        <w:t>******</w:t>
        <w:tab/>
        <w:t>Incorporated herein by reference to Exhibit 12.1 to the Registrant's Annual Report on Form 10-K for the year ended December 31, 1999 (Registration No. 001-14625)</w:t>
      </w:r>
    </w:p>
    <w:p>
      <w:pPr>
        <w:spacing w:after="0" w:line="1"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 Previously filed</w:t>
      </w:r>
    </w:p>
    <w:p>
      <w:pPr>
        <w:spacing w:after="0" w:line="201"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1"/>
          </w:cols>
          <w:pgMar w:left="248" w:top="717" w:right="1440" w:bottom="1440" w:gutter="0" w:footer="0" w:header="0"/>
        </w:sectPr>
      </w:pPr>
    </w:p>
    <w:bookmarkStart w:id="9" w:name="page10"/>
    <w:bookmarkEnd w:id="9"/>
    <w:p>
      <w:pPr>
        <w:ind w:left="6740"/>
        <w:spacing w:after="0"/>
        <w:rPr>
          <w:sz w:val="20"/>
          <w:szCs w:val="20"/>
          <w:color w:val="auto"/>
        </w:rPr>
      </w:pPr>
      <w:r>
        <w:rPr>
          <w:rFonts w:ascii="Courier New" w:cs="Courier New" w:eastAsia="Courier New" w:hAnsi="Courier New"/>
          <w:sz w:val="18"/>
          <w:szCs w:val="18"/>
          <w:color w:val="auto"/>
        </w:rPr>
        <w:t>EXHIBIT 8.1</w:t>
      </w:r>
    </w:p>
    <w:p>
      <w:pPr>
        <w:ind w:left="2960"/>
        <w:spacing w:after="0" w:line="238" w:lineRule="auto"/>
        <w:rPr>
          <w:sz w:val="20"/>
          <w:szCs w:val="20"/>
          <w:color w:val="auto"/>
        </w:rPr>
      </w:pPr>
      <w:r>
        <w:rPr>
          <w:rFonts w:ascii="Courier New" w:cs="Courier New" w:eastAsia="Courier New" w:hAnsi="Courier New"/>
          <w:sz w:val="18"/>
          <w:szCs w:val="18"/>
          <w:color w:val="auto"/>
        </w:rPr>
        <w:t>Hogan &amp; Hartson L.L.P.</w:t>
      </w:r>
    </w:p>
    <w:p>
      <w:pPr>
        <w:ind w:left="2740"/>
        <w:spacing w:after="0"/>
        <w:rPr>
          <w:sz w:val="20"/>
          <w:szCs w:val="20"/>
          <w:color w:val="auto"/>
        </w:rPr>
      </w:pPr>
      <w:r>
        <w:rPr>
          <w:rFonts w:ascii="Courier New" w:cs="Courier New" w:eastAsia="Courier New" w:hAnsi="Courier New"/>
          <w:sz w:val="18"/>
          <w:szCs w:val="18"/>
          <w:color w:val="auto"/>
        </w:rPr>
        <w:t>555 Thirteenth Street, N.W.</w:t>
      </w:r>
    </w:p>
    <w:p>
      <w:pPr>
        <w:ind w:left="3060"/>
        <w:spacing w:after="0" w:line="237" w:lineRule="auto"/>
        <w:rPr>
          <w:sz w:val="20"/>
          <w:szCs w:val="20"/>
          <w:color w:val="auto"/>
        </w:rPr>
      </w:pPr>
      <w:r>
        <w:rPr>
          <w:rFonts w:ascii="Courier New" w:cs="Courier New" w:eastAsia="Courier New" w:hAnsi="Courier New"/>
          <w:sz w:val="18"/>
          <w:szCs w:val="18"/>
          <w:color w:val="auto"/>
        </w:rPr>
        <w:t>Washington, DC 20004</w:t>
      </w:r>
    </w:p>
    <w:p>
      <w:pPr>
        <w:spacing w:after="0" w:line="5" w:lineRule="exact"/>
        <w:rPr>
          <w:sz w:val="20"/>
          <w:szCs w:val="20"/>
          <w:color w:val="auto"/>
        </w:rPr>
      </w:pPr>
    </w:p>
    <w:p>
      <w:pPr>
        <w:ind w:left="3280" w:right="5259" w:firstLine="99"/>
        <w:spacing w:after="0" w:line="558" w:lineRule="auto"/>
        <w:tabs>
          <w:tab w:leader="none" w:pos="401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637-5600 January 31, 2001</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Host Marriott Corporation</w:t>
      </w:r>
    </w:p>
    <w:p>
      <w:pPr>
        <w:spacing w:after="0" w:line="238" w:lineRule="auto"/>
        <w:rPr>
          <w:sz w:val="20"/>
          <w:szCs w:val="20"/>
          <w:color w:val="auto"/>
        </w:rPr>
      </w:pPr>
      <w:r>
        <w:rPr>
          <w:rFonts w:ascii="Courier New" w:cs="Courier New" w:eastAsia="Courier New" w:hAnsi="Courier New"/>
          <w:sz w:val="18"/>
          <w:szCs w:val="18"/>
          <w:color w:val="auto"/>
        </w:rPr>
        <w:t>Host Marriott, L.P.</w:t>
      </w:r>
    </w:p>
    <w:p>
      <w:pPr>
        <w:spacing w:after="0"/>
        <w:rPr>
          <w:sz w:val="20"/>
          <w:szCs w:val="20"/>
          <w:color w:val="auto"/>
        </w:rPr>
      </w:pPr>
      <w:r>
        <w:rPr>
          <w:rFonts w:ascii="Courier New" w:cs="Courier New" w:eastAsia="Courier New" w:hAnsi="Courier New"/>
          <w:sz w:val="18"/>
          <w:szCs w:val="18"/>
          <w:color w:val="auto"/>
        </w:rPr>
        <w:t>10400 Fernwood Road</w:t>
      </w:r>
    </w:p>
    <w:p>
      <w:pPr>
        <w:spacing w:after="0" w:line="237" w:lineRule="auto"/>
        <w:rPr>
          <w:sz w:val="20"/>
          <w:szCs w:val="20"/>
          <w:color w:val="auto"/>
        </w:rPr>
      </w:pPr>
      <w:r>
        <w:rPr>
          <w:rFonts w:ascii="Courier New" w:cs="Courier New" w:eastAsia="Courier New" w:hAnsi="Courier New"/>
          <w:sz w:val="18"/>
          <w:szCs w:val="18"/>
          <w:color w:val="auto"/>
        </w:rPr>
        <w:t>Bethesda, MD 20817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acted as special tax counsel to Host Marriott Corporation, a Maryland corporation ("Host REIT"), and Host Marriott, L.P., a Delaware limited partnership (the "Operating Partnership"), in connection with the registration by Host REIT of 26,235 shares of its common stock, par value $0.01, as described more fully in the Registration Statement on Form S-3 filed with the Securities and Exchange Commission (the "Registration Statement," which includes the "Prospectus" of Host REIT) on January 31, 2001. In connection with such registration, you have requested our opinion as to certain federal income tax matters set forth in this letter. Capitalized terms used herein, unless otherwise defined in the body of this letter, shall have the meanings set forth in Appendix A.</w:t>
      </w:r>
    </w:p>
    <w:p>
      <w:pPr>
        <w:spacing w:after="0" w:line="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Bases for Opinions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opinions set forth in this letter are based on relevant current provisions of the Internal Revenue Code of 1986, as amended (the "Code"), Treasury Regulations thereunder (including proposed and temporary Treasury Regulations), and interpretations of the foregoing as expressed in court decisions, applicable legislative history, and the administrative rulings and practices of the Internal Revenue Service (the "IRS"), including its practices and policies in issuing private letter rulings, which are not binding on the IRS except with respect to a taxpayer that receives such a ruling, all as of the date hereof. These provisions and interpretations are subject to change, which may or may not be retroactive in effect, that might result in material modifications of our opinions. Our opinions do not foreclose the possibility of a contrary determination by the IRS or a court of competent jurisdiction, or of a contrary position taken by the IRS or the Treasury Department in regulations or rulings issued in the future. In this regard, an opinion of counsel with respect to an issue merely represents counsel's best judgment with respect to the outcome on the merits with respect to such issue, is not binding on the IRS or the courts, and is not a guarantee that the IRS will not assert a contrary</w:t>
      </w:r>
    </w:p>
    <w:p>
      <w:pPr>
        <w:sectPr>
          <w:pgSz w:w="11900" w:h="16838" w:orient="portrait"/>
          <w:cols w:equalWidth="0" w:num="1">
            <w:col w:w="10219"/>
          </w:cols>
          <w:pgMar w:left="240" w:top="54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Host Marriott Corporation</w:t>
      </w:r>
    </w:p>
    <w:p>
      <w:pPr>
        <w:spacing w:after="0" w:line="238" w:lineRule="auto"/>
        <w:rPr>
          <w:sz w:val="20"/>
          <w:szCs w:val="20"/>
          <w:color w:val="auto"/>
        </w:rPr>
      </w:pPr>
      <w:r>
        <w:rPr>
          <w:rFonts w:ascii="Courier New" w:cs="Courier New" w:eastAsia="Courier New" w:hAnsi="Courier New"/>
          <w:sz w:val="18"/>
          <w:szCs w:val="18"/>
          <w:color w:val="auto"/>
        </w:rPr>
        <w:t>Host Marriott, L.P.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31, 2001</w:t>
      </w:r>
    </w:p>
    <w:p>
      <w:pPr>
        <w:spacing w:after="0" w:line="238" w:lineRule="auto"/>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10"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position with respect to such issue or that a court will not sustain such a position asserted by the IRS.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rendering the following opinions, we have examined such statutes, regulations, records, agreements, certificates and other documents as we have considered necessary or appropriate as a basis for the opinions, including the following:</w:t>
      </w:r>
    </w:p>
    <w:p>
      <w:pPr>
        <w:spacing w:after="0" w:line="202" w:lineRule="exact"/>
        <w:rPr>
          <w:sz w:val="20"/>
          <w:szCs w:val="20"/>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the Prospectus;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and Exchange Agreement;</w:t>
      </w:r>
    </w:p>
    <w:p>
      <w:pPr>
        <w:spacing w:after="0" w:line="206"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Second Amended and Restated Agreement of Limited Partnership of the Operating Partnership, dated as of December 30, 1998, as amended through the date hereof;</w:t>
      </w:r>
    </w:p>
    <w:p>
      <w:pPr>
        <w:spacing w:after="0" w:line="208" w:lineRule="exact"/>
        <w:rPr>
          <w:rFonts w:ascii="Courier New" w:cs="Courier New" w:eastAsia="Courier New" w:hAnsi="Courier New"/>
          <w:sz w:val="18"/>
          <w:szCs w:val="18"/>
          <w:color w:val="auto"/>
        </w:rPr>
      </w:pPr>
    </w:p>
    <w:p>
      <w:pPr>
        <w:ind w:right="1879" w:firstLine="535"/>
        <w:spacing w:after="0" w:line="279" w:lineRule="auto"/>
        <w:tabs>
          <w:tab w:leader="none" w:pos="94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Articles of Amendment and Restatement of Articles of Incorporation of Host REIT, filed with the State Department of Assessments and Taxation of Maryland on December 29, 1998, and the Bylaws of Host REIT, as amended;</w:t>
      </w:r>
    </w:p>
    <w:p>
      <w:pPr>
        <w:spacing w:after="0" w:line="178" w:lineRule="exact"/>
        <w:rPr>
          <w:rFonts w:ascii="Courier New" w:cs="Courier New" w:eastAsia="Courier New" w:hAnsi="Courier New"/>
          <w:sz w:val="16"/>
          <w:szCs w:val="16"/>
          <w:color w:val="auto"/>
        </w:rPr>
      </w:pPr>
    </w:p>
    <w:p>
      <w:pPr>
        <w:ind w:right="1779" w:firstLine="535"/>
        <w:spacing w:after="0" w:line="235" w:lineRule="auto"/>
        <w:tabs>
          <w:tab w:leader="none" w:pos="9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of Crestline, dated November 9, 1998, and the Bylaws of Crestline;</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agreement of HMT Lessee, dated November 10, 2000;</w:t>
      </w:r>
    </w:p>
    <w:p>
      <w:pPr>
        <w:spacing w:after="0" w:line="206" w:lineRule="exact"/>
        <w:rPr>
          <w:rFonts w:ascii="Courier New" w:cs="Courier New" w:eastAsia="Courier New" w:hAnsi="Courier New"/>
          <w:sz w:val="18"/>
          <w:szCs w:val="18"/>
          <w:color w:val="auto"/>
        </w:rPr>
      </w:pPr>
    </w:p>
    <w:p>
      <w:pPr>
        <w:ind w:right="1779" w:firstLine="535"/>
        <w:spacing w:after="0" w:line="279" w:lineRule="auto"/>
        <w:tabs>
          <w:tab w:leader="none" w:pos="94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agreement of each partnership and the operating agreement of each limited liability company other than HMT Lessee in which either Host REIT or the Operating Partnership has a direct or indirect interest;</w:t>
      </w:r>
    </w:p>
    <w:p>
      <w:pPr>
        <w:spacing w:after="0" w:line="178" w:lineRule="exact"/>
        <w:rPr>
          <w:rFonts w:ascii="Courier New" w:cs="Courier New" w:eastAsia="Courier New" w:hAnsi="Courier New"/>
          <w:sz w:val="16"/>
          <w:szCs w:val="16"/>
          <w:color w:val="auto"/>
        </w:rPr>
      </w:pPr>
    </w:p>
    <w:p>
      <w:pPr>
        <w:ind w:right="1779" w:firstLine="535"/>
        <w:spacing w:after="0" w:line="268" w:lineRule="auto"/>
        <w:tabs>
          <w:tab w:leader="none" w:pos="94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real estate leases on the Hotels, pursuant to which the Operating Partnership or a Partnership Subsidiary, as lessor or sub-lessor, leases a hotel to a lessee or sub-lessee, respectively, the majority of which leases were entered into with entities that were indirect subsidiaries of Crestline prior to the Lease Acquisition (as further defined in Appendix A, the "Lessees")</w:t>
      </w:r>
    </w:p>
    <w:p>
      <w:pPr>
        <w:ind w:left="474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(collectively, the "Leases"), and the amendments to the Leases, effective January 1, 2001, which were entered into in connection with the Lease Acquisition;</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Host Marriott Corporation</w:t>
      </w:r>
    </w:p>
    <w:p>
      <w:pPr>
        <w:spacing w:after="0" w:line="238" w:lineRule="auto"/>
        <w:rPr>
          <w:sz w:val="20"/>
          <w:szCs w:val="20"/>
          <w:color w:val="auto"/>
        </w:rPr>
      </w:pPr>
      <w:r>
        <w:rPr>
          <w:rFonts w:ascii="Courier New" w:cs="Courier New" w:eastAsia="Courier New" w:hAnsi="Courier New"/>
          <w:sz w:val="18"/>
          <w:szCs w:val="18"/>
          <w:color w:val="auto"/>
        </w:rPr>
        <w:t>Host Marriott, L.P.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31, 2001</w:t>
      </w:r>
    </w:p>
    <w:p>
      <w:pPr>
        <w:spacing w:after="0" w:line="238" w:lineRule="auto"/>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10" w:lineRule="exact"/>
        <w:rPr>
          <w:sz w:val="20"/>
          <w:szCs w:val="20"/>
          <w:color w:val="auto"/>
        </w:rPr>
      </w:pPr>
    </w:p>
    <w:p>
      <w:pPr>
        <w:jc w:val="both"/>
        <w:ind w:right="2319" w:firstLine="535"/>
        <w:spacing w:after="0" w:line="237"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dated December 3, 1998, and the Bylaws, dated December 14, 1998, of Fernwood, and the Amended and Restated Certificate of Incorporation, dated December 3, 1998, and the Bylaws, dated December 14, 1998, of Rockledge;</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for the Host Marriott Statutory Employee/Charitable Trust, a Delaware business trust (the "Host Employee/Charitable Trust"), dated December 30, 1998, and the Declaration of Trust for the Host Marriott Employees' Trust, a common law trust formed under Maryland law, dated December 30, 1998;</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No. 6 to the Distribution Agreement;</w:t>
      </w:r>
    </w:p>
    <w:p>
      <w:pPr>
        <w:spacing w:after="0" w:line="206"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 Management Agreement between the Operating Partnership and Crestline, dated as of December 31, 1998, which agreement terminated immediately prior to January 1, 2001 in connection with the Lease Acquisition;</w:t>
      </w:r>
    </w:p>
    <w:p>
      <w:pPr>
        <w:spacing w:after="0" w:line="208" w:lineRule="exact"/>
        <w:rPr>
          <w:rFonts w:ascii="Courier New" w:cs="Courier New" w:eastAsia="Courier New" w:hAnsi="Courier New"/>
          <w:sz w:val="18"/>
          <w:szCs w:val="18"/>
          <w:color w:val="auto"/>
        </w:rPr>
      </w:pPr>
    </w:p>
    <w:p>
      <w:pPr>
        <w:ind w:right="2099" w:firstLine="535"/>
        <w:spacing w:after="0" w:line="236"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January 22, 2001 draft of the Asset Management Sharing and Cost Reimbursement Agreement between the Operating Partnership and HMT Lessee, effective January 1, 2001;</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class or series of preferred stock of Host REIT, the Articles Supplementary to the Articles of Amendment and Restatement of Articles of Incorporation of Host REIT establishing and fixing the rights and preferences of such class or series of preferred stock;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documents as we deemed necessary or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opinions set forth in this letter also are premised on certain written factual representations of Host REIT and the Operating Partnership regarding the organization, ownership and operations (including the income, assets, businesses, liabilities, properties and accumulated undistributed earnings and profits) of Host REIT, the Operating Partnership, the Partnership Subsidiaries, the Non-Controlled Subsidiaries, HMT Lessee, the Host Employee/Charitable Trust, Crestline and the Lessees contained in a letter to us dated on the date of this letter (the "Representation Letter").</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Host Marriott Corporation</w:t>
      </w:r>
    </w:p>
    <w:p>
      <w:pPr>
        <w:spacing w:after="0" w:line="238" w:lineRule="auto"/>
        <w:rPr>
          <w:sz w:val="20"/>
          <w:szCs w:val="20"/>
          <w:color w:val="auto"/>
        </w:rPr>
      </w:pPr>
      <w:r>
        <w:rPr>
          <w:rFonts w:ascii="Courier New" w:cs="Courier New" w:eastAsia="Courier New" w:hAnsi="Courier New"/>
          <w:sz w:val="18"/>
          <w:szCs w:val="18"/>
          <w:color w:val="auto"/>
        </w:rPr>
        <w:t>Host Marriott, L.P.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31, 2001</w:t>
      </w:r>
    </w:p>
    <w:p>
      <w:pPr>
        <w:spacing w:after="0" w:line="238" w:lineRule="auto"/>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For purposes of rendering our opinions, we have not made an independent investigation or audit of the facts set forth in any of the above-referenced documents, including the Registration Statement, the Prospectus or the Representation Letter. We consequently have relied upon representations in the Representation Letter and upon the assumption that the information presented in such documents or otherwise furnished to us is accurate and complete in all material respects. We are not aware, however, of any material facts or circumstances contrary to, or inconsistent with, the representations we have relied upon as described herein, or other assumptions set forth herein.</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this regard, we have assumed with your consent the following:</w:t>
      </w:r>
    </w:p>
    <w:p>
      <w:pPr>
        <w:spacing w:after="0" w:line="207" w:lineRule="exact"/>
        <w:rPr>
          <w:sz w:val="20"/>
          <w:szCs w:val="20"/>
          <w:color w:val="auto"/>
        </w:rPr>
      </w:pPr>
    </w:p>
    <w:p>
      <w:pPr>
        <w:ind w:right="1879" w:firstLine="535"/>
        <w:spacing w:after="0" w:line="237" w:lineRule="auto"/>
        <w:tabs>
          <w:tab w:leader="none" w:pos="9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all of the representations and statements set forth in the documents that we reviewed (including the Representation Letter) (collectively, the "Reviewed Documents") are true and correct and will continue to be true and correct, that any representation or statement made as a belief or made "to the knowledge of" or similarly qualified is correct and accurate and will continue to be correct and accurate without such qualification, each of the Reviewed Documents that constitutes an agreement is valid and binding in accordance with its terms, and all of the obligations imposed by the Reviewed Documents on the parties thereto have been and will continue to be performed or satisfied in accordance with their terms;</w:t>
      </w:r>
    </w:p>
    <w:p>
      <w:pPr>
        <w:spacing w:after="0" w:line="214"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genuineness of all signatures, the proper execution of all documents, the authenticity of all documents submitted to us as originals, the conformity to originals of documents submitted to us as copies, and the authenticity of the originals from which any copies were made; and</w:t>
      </w:r>
    </w:p>
    <w:p>
      <w:pPr>
        <w:spacing w:after="0" w:line="207" w:lineRule="exact"/>
        <w:rPr>
          <w:rFonts w:ascii="Courier New" w:cs="Courier New" w:eastAsia="Courier New" w:hAnsi="Courier New"/>
          <w:sz w:val="18"/>
          <w:szCs w:val="18"/>
          <w:color w:val="auto"/>
        </w:rPr>
      </w:pPr>
    </w:p>
    <w:p>
      <w:pPr>
        <w:ind w:right="1879" w:firstLine="535"/>
        <w:spacing w:after="0" w:line="290" w:lineRule="auto"/>
        <w:tabs>
          <w:tab w:leader="none" w:pos="12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any documents as to which we have reviewed only a form were or will be duly executed without material changes from the form reviewed by us.</w:t>
      </w:r>
    </w:p>
    <w:p>
      <w:pPr>
        <w:spacing w:after="0" w:line="17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Any variation or difference in the facts from those set forth in the documents that we have reviewed and upon which we have relied (including, in particular, the Registration Statement, the Prospectus and the Representation Letter) may adversely affect the conclusions stated herein.</w:t>
      </w:r>
    </w:p>
    <w:p>
      <w:pPr>
        <w:sectPr>
          <w:pgSz w:w="11900" w:h="16838" w:orient="portrait"/>
          <w:cols w:equalWidth="0" w:num="1">
            <w:col w:w="10219"/>
          </w:cols>
          <w:pgMar w:left="240" w:top="7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Host Marriott Corporation</w:t>
      </w:r>
    </w:p>
    <w:p>
      <w:pPr>
        <w:spacing w:after="0" w:line="238" w:lineRule="auto"/>
        <w:rPr>
          <w:sz w:val="20"/>
          <w:szCs w:val="20"/>
          <w:color w:val="auto"/>
        </w:rPr>
      </w:pPr>
      <w:r>
        <w:rPr>
          <w:rFonts w:ascii="Courier New" w:cs="Courier New" w:eastAsia="Courier New" w:hAnsi="Courier New"/>
          <w:sz w:val="18"/>
          <w:szCs w:val="18"/>
          <w:color w:val="auto"/>
        </w:rPr>
        <w:t>Host Marriott, L.P.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31, 2001</w:t>
      </w:r>
    </w:p>
    <w:p>
      <w:pPr>
        <w:spacing w:after="0" w:line="238" w:lineRule="auto"/>
        <w:rPr>
          <w:sz w:val="20"/>
          <w:szCs w:val="20"/>
          <w:color w:val="auto"/>
        </w:rPr>
      </w:pPr>
      <w:r>
        <w:rPr>
          <w:rFonts w:ascii="Courier New" w:cs="Courier New" w:eastAsia="Courier New" w:hAnsi="Courier New"/>
          <w:sz w:val="18"/>
          <w:szCs w:val="18"/>
          <w:color w:val="auto"/>
        </w:rPr>
        <w:t>Page 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Opinions</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Based upon, subject to, and limited by the assumptions and qualifications set forth herein (including those set forth below), we are of the opinion that:</w:t>
      </w:r>
    </w:p>
    <w:p>
      <w:pPr>
        <w:spacing w:after="0" w:line="170" w:lineRule="exact"/>
        <w:rPr>
          <w:sz w:val="20"/>
          <w:szCs w:val="20"/>
          <w:color w:val="auto"/>
        </w:rPr>
      </w:pPr>
    </w:p>
    <w:p>
      <w:pPr>
        <w:ind w:right="1779" w:firstLine="535"/>
        <w:spacing w:after="0" w:line="237" w:lineRule="auto"/>
        <w:tabs>
          <w:tab w:leader="none" w:pos="9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Host REIT was organized and has operated in conformity with the requirements for qualification and taxation as a REIT under the Code, effective for its taxable years ended December 31, 1999 and December 31, 2000, and Host REIT's current organization and intended method of operation will enable it to continue to meet the requirements for qualification and taxation as a REIT under the Code for taxable year 2001 and thereafter.</w:t>
      </w:r>
    </w:p>
    <w:p>
      <w:pPr>
        <w:spacing w:after="0" w:line="209"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Leases will be respected as leases for federal income tax purposes.</w:t>
      </w:r>
    </w:p>
    <w:p>
      <w:pPr>
        <w:spacing w:after="0" w:line="223" w:lineRule="exact"/>
        <w:rPr>
          <w:rFonts w:ascii="Courier New" w:cs="Courier New" w:eastAsia="Courier New" w:hAnsi="Courier New"/>
          <w:sz w:val="16"/>
          <w:szCs w:val="16"/>
          <w:color w:val="auto"/>
        </w:rPr>
      </w:pPr>
    </w:p>
    <w:p>
      <w:pPr>
        <w:jc w:val="both"/>
        <w:ind w:right="1879" w:firstLine="535"/>
        <w:spacing w:after="0" w:line="236" w:lineRule="auto"/>
        <w:tabs>
          <w:tab w:leader="none" w:pos="9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discussion in the Prospectus under the heading "Federal Income Tax Consequences," to the extent that it describes provisions of federal income tax law, is correct in all material respects.</w:t>
      </w:r>
    </w:p>
    <w:p>
      <w:pPr>
        <w:spacing w:after="0" w:line="20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Host REIT's ability to qualify as a REIT depends in particular upon whether each of the Leases is respected as a lease for federal income tax purposes. If one or more Leases are not respected as leases for federal income tax purposes, Host REIT may fail to qualify as a REIT. The determination of whether the Leases are leases for federal income tax purposes is highly dependent on specific facts and circumstances. In addition, for the rents payable under a Lease to qualify as "rents from real property" under the Code, the rental provisions of the Leases and the other terms thereof must conform with normal business practice and not be used as a means to base the rent paid on the income or profits of the lessees. In delivering the opinions set forth above that Host REIT's current organization and intended method of operation (as described in the Representation Letter) have enabled Host REIT to meet the requirements for qualification and taxation as a REIT for its taxable years ended December 31, 1999 and December 31, 2000, and will enable Host REIT to meet such requirements for the current taxable year and subsequent taxable years, and that the Leases will be respected as leases for federal income tax purposes, we expressly rely upon, among other things, Host REIT's representations as to various factual matters with respect to the Leases, including representations as to the commercial reasonableness of the economic and other terms of the Leases,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sectPr>
          <w:pgSz w:w="11900" w:h="16838" w:orient="portrait"/>
          <w:cols w:equalWidth="0" w:num="1">
            <w:col w:w="10219"/>
          </w:cols>
          <w:pgMar w:left="240" w:top="7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Host Marriott Corporation</w:t>
      </w:r>
    </w:p>
    <w:p>
      <w:pPr>
        <w:spacing w:after="0" w:line="238" w:lineRule="auto"/>
        <w:rPr>
          <w:sz w:val="20"/>
          <w:szCs w:val="20"/>
          <w:color w:val="auto"/>
        </w:rPr>
      </w:pPr>
      <w:r>
        <w:rPr>
          <w:rFonts w:ascii="Courier New" w:cs="Courier New" w:eastAsia="Courier New" w:hAnsi="Courier New"/>
          <w:sz w:val="18"/>
          <w:szCs w:val="18"/>
          <w:color w:val="auto"/>
        </w:rPr>
        <w:t>Host Marriott, L.P.</w:t>
      </w:r>
    </w:p>
    <w:p>
      <w:pPr>
        <w:spacing w:after="0"/>
        <w:rPr>
          <w:sz w:val="20"/>
          <w:szCs w:val="20"/>
          <w:color w:val="auto"/>
        </w:rPr>
      </w:pPr>
      <w:r>
        <w:rPr>
          <w:rFonts w:ascii="Courier New" w:cs="Courier New" w:eastAsia="Courier New" w:hAnsi="Courier New"/>
          <w:sz w:val="18"/>
          <w:szCs w:val="18"/>
          <w:color w:val="auto"/>
        </w:rPr>
        <w:t>January 31, 2001</w:t>
      </w:r>
    </w:p>
    <w:p>
      <w:pPr>
        <w:spacing w:after="0" w:line="237" w:lineRule="auto"/>
        <w:rPr>
          <w:sz w:val="20"/>
          <w:szCs w:val="20"/>
          <w:color w:val="auto"/>
        </w:rPr>
      </w:pPr>
      <w:r>
        <w:rPr>
          <w:rFonts w:ascii="Courier New" w:cs="Courier New" w:eastAsia="Courier New" w:hAnsi="Courier New"/>
          <w:sz w:val="18"/>
          <w:szCs w:val="18"/>
          <w:color w:val="auto"/>
        </w:rPr>
        <w:t>Page 6</w:t>
      </w:r>
    </w:p>
    <w:p>
      <w:pPr>
        <w:spacing w:after="0" w:line="200" w:lineRule="exact"/>
        <w:rPr>
          <w:sz w:val="20"/>
          <w:szCs w:val="20"/>
          <w:color w:val="auto"/>
        </w:rPr>
      </w:pP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intent and economic expectations of the parties to the Leases, the allocation of various economic risks between the parties to the Leases, taking into account all surrounding facts and circumstances, the conformity of the rental provisions and other terms of the Leases with normal business practice, the conduct of the parties to the Leases, and the conclusion that, except in connection with the Harbor Beach Lease and any other leases that Host REIT acknowledges will not qualify as producing "rent from real property" under the Code, such terms are not being, and will not be, used as a means to base the rent paid on the income or profits of the lessees. We express no opinion as to any of the economic terms of the Leases, the commercial reasonableness thereof, or whether the actual economic relationships created thereby are such that the Leases will be respected for federal income tax purposes or whether the rental and other terms of the Leases conform with normal business practice (and are not being used as a means to base the rent paid on the income or profits of the lessees).</w:t>
      </w:r>
    </w:p>
    <w:p>
      <w:pPr>
        <w:spacing w:after="0" w:line="3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Host REIT's ability to qualify as a REIT for its taxable year ended December 31, 1999 also depends upon Host REIT not having had as of December 31, 1999 any "earnings and profits" accumulated in any prior taxable year of Host REIT or any of its predecessors or subsidiaries (which would be based on the consolidated earnings and profits of Host REIT (including each of its predecessors) accumulated from 1929, the first year that a predecessor of Host REIT was a "C" corporation, through and including 1998). The calculation of "earnings and profits" depends upon a number of factual and legal interpretations related to the activities and operations of Host REIT's predecessors and their corporate affiliates during their entire corporate existence and is subject to review and challenge by the IRS. Host REIT has represented to us for purposes of our opinions that Host REIT distributed by the close of its taxable year ending December 31, 1999 any "earnings and profits" accumulated in any prior taxable year of Host REIT or any of its predecessors or subsidiaries. There can be no assurance, however, that the IRS will not examine the tax returns of Host REIT's predecessors and their affiliates for all years prior to 1999 and propose adjustments to increase their taxable income, which could result in Host REIT being considered to have had undistributed "earnings and profits" at the close of its taxable year ending December 31, 1999, in which event Host REIT would not qualify as a REIT for such year. We express no opinion as to Host REIT's current and accumulated "earnings and profits" or whether Host REIT will be considered to have had undistributed "earnings and profits" at the close of 1999.</w:t>
      </w:r>
    </w:p>
    <w:p>
      <w:pPr>
        <w:sectPr>
          <w:pgSz w:w="11900" w:h="16838" w:orient="portrait"/>
          <w:cols w:equalWidth="0" w:num="1">
            <w:col w:w="10219"/>
          </w:cols>
          <w:pgMar w:left="240" w:top="7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Host Marriott Corporation</w:t>
      </w:r>
    </w:p>
    <w:p>
      <w:pPr>
        <w:spacing w:after="0" w:line="238" w:lineRule="auto"/>
        <w:rPr>
          <w:sz w:val="20"/>
          <w:szCs w:val="20"/>
          <w:color w:val="auto"/>
        </w:rPr>
      </w:pPr>
      <w:r>
        <w:rPr>
          <w:rFonts w:ascii="Courier New" w:cs="Courier New" w:eastAsia="Courier New" w:hAnsi="Courier New"/>
          <w:sz w:val="18"/>
          <w:szCs w:val="18"/>
          <w:color w:val="auto"/>
        </w:rPr>
        <w:t>Host Marriott, L.P.</w:t>
      </w:r>
    </w:p>
    <w:p>
      <w:pPr>
        <w:spacing w:after="0"/>
        <w:rPr>
          <w:sz w:val="20"/>
          <w:szCs w:val="20"/>
          <w:color w:val="auto"/>
        </w:rPr>
      </w:pPr>
      <w:r>
        <w:rPr>
          <w:rFonts w:ascii="Courier New" w:cs="Courier New" w:eastAsia="Courier New" w:hAnsi="Courier New"/>
          <w:sz w:val="18"/>
          <w:szCs w:val="18"/>
          <w:color w:val="auto"/>
        </w:rPr>
        <w:t>January 31, 2001</w:t>
      </w:r>
    </w:p>
    <w:p>
      <w:pPr>
        <w:spacing w:after="0" w:line="237" w:lineRule="auto"/>
        <w:rPr>
          <w:sz w:val="20"/>
          <w:szCs w:val="20"/>
          <w:color w:val="auto"/>
        </w:rPr>
      </w:pPr>
      <w:r>
        <w:rPr>
          <w:rFonts w:ascii="Courier New" w:cs="Courier New" w:eastAsia="Courier New" w:hAnsi="Courier New"/>
          <w:sz w:val="18"/>
          <w:szCs w:val="18"/>
          <w:color w:val="auto"/>
        </w:rPr>
        <w:t>Page 7</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Host REIT's qualification and taxation as a REIT depends upon Host REIT's ability to meet on an ongoing basis (through actual annual operating results, distribution levels, diversity of share ownership and otherwise) the various qualification tests imposed under the Code and described in Prospectus. We have relied upon representations of Host REIT and the Operating Partnership with respect to these matters (including those set forth in the Prospectus (including the SEC filings incorporated therein by reference) and the Representation Letter) and will not review Host REIT's compliance with these requirements on a continuing basis. Accordingly, no assurance can be given that the actual results of Host REIT's operations, the sources of its income, the nature of its assets, the level of its distributions to shareholders and the diversity of its share ownership for any given taxable year will satisfy the requirements under the Code for qualification and taxation as a REIT.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For a discussion relating the law to the facts, and the legal analysis underlying the opinions set forth in this letter, we incorporate by reference the discussion of federal income tax issues in the section of the Prospectus under the heading "Federal Income Tax Consequences."</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We assume no obligation to advise you of any changes in our opinions subsequent to the delivery of this opinion letter.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opinion letter addresses only the specific federal income tax matters set forth above and does not address any other federal, state, local or foreign tax issues. This opinion letter has been prepared for your benefit in connection with the filing of the Registration Statement. This opinion letter may not be used or relied upon by any other person or for any other purpose and may not be disclosed, quoted, filed with any governmental agency or otherwise referred to without our prior written consent.</w:t>
      </w:r>
    </w:p>
    <w:p>
      <w:pPr>
        <w:sectPr>
          <w:pgSz w:w="11900" w:h="16838" w:orient="portrait"/>
          <w:cols w:equalWidth="0" w:num="1">
            <w:col w:w="10219"/>
          </w:cols>
          <w:pgMar w:left="240" w:top="7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Host Marriott Corporation</w:t>
      </w:r>
    </w:p>
    <w:p>
      <w:pPr>
        <w:spacing w:after="0" w:line="238" w:lineRule="auto"/>
        <w:rPr>
          <w:sz w:val="20"/>
          <w:szCs w:val="20"/>
          <w:color w:val="auto"/>
        </w:rPr>
      </w:pPr>
      <w:r>
        <w:rPr>
          <w:rFonts w:ascii="Courier New" w:cs="Courier New" w:eastAsia="Courier New" w:hAnsi="Courier New"/>
          <w:sz w:val="18"/>
          <w:szCs w:val="18"/>
          <w:color w:val="auto"/>
        </w:rPr>
        <w:t>Host Marriott, L.P.</w:t>
      </w:r>
    </w:p>
    <w:p>
      <w:pPr>
        <w:spacing w:after="0"/>
        <w:rPr>
          <w:sz w:val="20"/>
          <w:szCs w:val="20"/>
          <w:color w:val="auto"/>
        </w:rPr>
      </w:pPr>
      <w:r>
        <w:rPr>
          <w:rFonts w:ascii="Courier New" w:cs="Courier New" w:eastAsia="Courier New" w:hAnsi="Courier New"/>
          <w:sz w:val="18"/>
          <w:szCs w:val="18"/>
          <w:color w:val="auto"/>
        </w:rPr>
        <w:t>January 31, 2001</w:t>
      </w:r>
    </w:p>
    <w:p>
      <w:pPr>
        <w:spacing w:after="0" w:line="237" w:lineRule="auto"/>
        <w:rPr>
          <w:sz w:val="20"/>
          <w:szCs w:val="20"/>
          <w:color w:val="auto"/>
        </w:rPr>
      </w:pPr>
      <w:r>
        <w:rPr>
          <w:rFonts w:ascii="Courier New" w:cs="Courier New" w:eastAsia="Courier New" w:hAnsi="Courier New"/>
          <w:sz w:val="18"/>
          <w:szCs w:val="18"/>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We hereby consent to the filing of this opinion letter as an exhibit to the Registration Statement and to the references to Hogan &amp; Hartson L.L.P. under the captions "Legal Matters" and "Federal Income Tax Consequences" in the Registration Statement. In giving this consent, we do not thereby admit that we are an expert within the meaning of the Securities Act of 1933, as amended.</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Hogan &amp; Hartson L.L.P.</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Hogan &amp; Hartson L.L.P.</w:t>
      </w:r>
    </w:p>
    <w:p>
      <w:pPr>
        <w:sectPr>
          <w:pgSz w:w="11900" w:h="16838" w:orient="portrait"/>
          <w:cols w:equalWidth="0" w:num="1">
            <w:col w:w="10219"/>
          </w:cols>
          <w:pgMar w:left="240" w:top="7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Host Marriott Corporation</w:t>
      </w:r>
    </w:p>
    <w:p>
      <w:pPr>
        <w:spacing w:after="0" w:line="238" w:lineRule="auto"/>
        <w:rPr>
          <w:sz w:val="20"/>
          <w:szCs w:val="20"/>
          <w:color w:val="auto"/>
        </w:rPr>
      </w:pPr>
      <w:r>
        <w:rPr>
          <w:rFonts w:ascii="Courier New" w:cs="Courier New" w:eastAsia="Courier New" w:hAnsi="Courier New"/>
          <w:sz w:val="18"/>
          <w:szCs w:val="18"/>
          <w:color w:val="auto"/>
        </w:rPr>
        <w:t>Host Marriott, L.P.</w:t>
      </w:r>
    </w:p>
    <w:p>
      <w:pPr>
        <w:spacing w:after="0"/>
        <w:rPr>
          <w:sz w:val="20"/>
          <w:szCs w:val="20"/>
          <w:color w:val="auto"/>
        </w:rPr>
      </w:pPr>
      <w:r>
        <w:rPr>
          <w:rFonts w:ascii="Courier New" w:cs="Courier New" w:eastAsia="Courier New" w:hAnsi="Courier New"/>
          <w:sz w:val="18"/>
          <w:szCs w:val="18"/>
          <w:color w:val="auto"/>
        </w:rPr>
        <w:t>January 31, 2001</w:t>
      </w:r>
    </w:p>
    <w:p>
      <w:pPr>
        <w:spacing w:after="0" w:line="237" w:lineRule="auto"/>
        <w:rPr>
          <w:sz w:val="20"/>
          <w:szCs w:val="20"/>
          <w:color w:val="auto"/>
        </w:rPr>
      </w:pPr>
      <w:r>
        <w:rPr>
          <w:rFonts w:ascii="Courier New" w:cs="Courier New" w:eastAsia="Courier New" w:hAnsi="Courier New"/>
          <w:sz w:val="18"/>
          <w:szCs w:val="18"/>
          <w:color w:val="auto"/>
        </w:rPr>
        <w:t>Page 9</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A</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"Acquisition and Exchange Agreement" means that certain Acquisition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and Exchange Agreement, dated as of November 13, 2000, among HMT Lessee, the Operating Partnership, Crestline and the other parties named therein, as amended from time to time.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"Crestline" means Crestline Capital Corporation, a Maryland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"Crestline Lessees" means those indirect subsidiaries of Crestline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that leased Hotels pursuant to the Leases prior to January 1, 2001.</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"Distribution Agreement" means the Distribution Agreement between Host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REIT (f/k/a as "Marriott Corporation") and Marriott International, Inc., dated as of September 15, 1993, as amended.</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"Fernwood" means Fernwood Hotel Assets, Inc., a Delaware corporation.</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"Harbor Beach Lease" means the lease of the Marriott Harbor Beach</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Resort from Lauderdale Beach Association to Marriott Hotel Services, Inc.</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"HMT Lessee" means HMT Lessee LLC, a Delaware limited liability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company that will elect, effective January 1, 2001, to be treated as a corporation (and a TRS) for federal income tax purposes.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"Hotel" means each hotel in which the Operating Partnership has a</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direct or indirect interest.</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"Lease Acquisition" means the acquisition by HMT Lessee on January 11,</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2001, effective January 1, 2001, pursuant to the Acquisition and Exchange Agreement, of the leasehold interests with respect to 116 Hotels that were leased to the Crestline Lessees prior to that date.</w:t>
      </w:r>
    </w:p>
    <w:p>
      <w:pPr>
        <w:sectPr>
          <w:pgSz w:w="11900" w:h="16838" w:orient="portrait"/>
          <w:cols w:equalWidth="0" w:num="1">
            <w:col w:w="10219"/>
          </w:cols>
          <w:pgMar w:left="240" w:top="71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Host Marriott Corporation</w:t>
      </w:r>
    </w:p>
    <w:p>
      <w:pPr>
        <w:spacing w:after="0" w:line="238" w:lineRule="auto"/>
        <w:rPr>
          <w:sz w:val="20"/>
          <w:szCs w:val="20"/>
          <w:color w:val="auto"/>
        </w:rPr>
      </w:pPr>
      <w:r>
        <w:rPr>
          <w:rFonts w:ascii="Courier New" w:cs="Courier New" w:eastAsia="Courier New" w:hAnsi="Courier New"/>
          <w:sz w:val="18"/>
          <w:szCs w:val="18"/>
          <w:color w:val="auto"/>
        </w:rPr>
        <w:t>Host Marriott, L.P.</w:t>
      </w:r>
    </w:p>
    <w:p>
      <w:pPr>
        <w:spacing w:after="0"/>
        <w:rPr>
          <w:sz w:val="20"/>
          <w:szCs w:val="20"/>
          <w:color w:val="auto"/>
        </w:rPr>
      </w:pPr>
      <w:r>
        <w:rPr>
          <w:rFonts w:ascii="Courier New" w:cs="Courier New" w:eastAsia="Courier New" w:hAnsi="Courier New"/>
          <w:sz w:val="18"/>
          <w:szCs w:val="18"/>
          <w:color w:val="auto"/>
        </w:rPr>
        <w:t>January 31, 2001</w:t>
      </w:r>
    </w:p>
    <w:p>
      <w:pPr>
        <w:spacing w:after="0" w:line="237" w:lineRule="auto"/>
        <w:rPr>
          <w:sz w:val="20"/>
          <w:szCs w:val="20"/>
          <w:color w:val="auto"/>
        </w:rPr>
      </w:pPr>
      <w:r>
        <w:rPr>
          <w:rFonts w:ascii="Courier New" w:cs="Courier New" w:eastAsia="Courier New" w:hAnsi="Courier New"/>
          <w:sz w:val="18"/>
          <w:szCs w:val="18"/>
          <w:color w:val="auto"/>
        </w:rPr>
        <w:t>Page 10</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"Lessee" means, with regard to Host REIT's taxable years ended prior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January 1, 2001, any one of the Crestline Lessees or IHP Lessee LLC, and with regard to Host REIT's taxable years beginning on or after January 1, 2001, any one of the TRS Lessees, IHP Lessee LLC, the Crestline Lessee with regard to the San Diego Hotel and any other lessee to which the Operating Partnership, directly or through another Partnership Subsidiary, leases one or more Hotels in the future.</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"Noncontrolled Subsidiaries" means, with regard to Host REIT's taxable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years ended prior to January 1, 2001, Fernwood and Rockledge.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"Partnership Subsidiary" means the Operating Partnership and any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partnership, limited liability company, or other entity treated as a partnership for federal income tax purposes or disregarded as a separate entity for federal income tax purposes in which either Host REIT or the Operating Partnership owns (or owned on or after January 1, 1999) an interest, either directly or through one or more other partnerships, limited liability companies or other entities treated as a partnership for federal income tax purposes or disregarded as a separate entity for federal income tax purposes (whether or not Host REIT or the Operating Partnership has a controlling interest in, or otherwise has the ability to control or direct the operation of, such entity). Notwithstanding the foregoing, the term "Partnership Subsidiary" shall not in any way be deemed to include the Non-Controlled Subsidiaries or subsidiaries thereof or the Taxable REIT Subsidiaries or subsidiaries thereof.</w:t>
      </w:r>
    </w:p>
    <w:p>
      <w:pPr>
        <w:spacing w:after="0" w:line="38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"Rockledge" means Rockledge Hotel Properties, Inc., a Delaware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"Taxable REIT Subsidiary" means, with regard to Host REIT's taxable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years commencing after December 31, 2000, any of HMT Lessee, Fernwood, Rockledge or any other TRS of Host REIT.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"TRS" means a "taxable REIT subsidiary," as described in Section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856(l) of the Code. Any corporation in which a TRS of Host REIT owns (x) securities possessing more than 35% of the total voting power of the outstanding securities of such corporation or (y) securities having a value of more than 35% of the total value of the outstanding securities of such corporation shall also be treated as a TRS of Host REIT whether or not a separate election is made with respect to such other entity.</w:t>
      </w:r>
    </w:p>
    <w:p>
      <w:pPr>
        <w:sectPr>
          <w:pgSz w:w="11900" w:h="16838" w:orient="portrait"/>
          <w:cols w:equalWidth="0" w:num="1">
            <w:col w:w="10219"/>
          </w:cols>
          <w:pgMar w:left="240" w:top="71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Host Marriott Corporation</w:t>
      </w:r>
    </w:p>
    <w:p>
      <w:pPr>
        <w:spacing w:after="0" w:line="238" w:lineRule="auto"/>
        <w:rPr>
          <w:sz w:val="20"/>
          <w:szCs w:val="20"/>
          <w:color w:val="auto"/>
        </w:rPr>
      </w:pPr>
      <w:r>
        <w:rPr>
          <w:rFonts w:ascii="Courier New" w:cs="Courier New" w:eastAsia="Courier New" w:hAnsi="Courier New"/>
          <w:sz w:val="18"/>
          <w:szCs w:val="18"/>
          <w:color w:val="auto"/>
        </w:rPr>
        <w:t>Host Marriott, L.P.</w:t>
      </w:r>
    </w:p>
    <w:p>
      <w:pPr>
        <w:spacing w:after="0"/>
        <w:rPr>
          <w:sz w:val="20"/>
          <w:szCs w:val="20"/>
          <w:color w:val="auto"/>
        </w:rPr>
      </w:pPr>
      <w:r>
        <w:rPr>
          <w:rFonts w:ascii="Courier New" w:cs="Courier New" w:eastAsia="Courier New" w:hAnsi="Courier New"/>
          <w:sz w:val="18"/>
          <w:szCs w:val="18"/>
          <w:color w:val="auto"/>
        </w:rPr>
        <w:t>January 31, 2001</w:t>
      </w:r>
    </w:p>
    <w:p>
      <w:pPr>
        <w:spacing w:after="0" w:line="237" w:lineRule="auto"/>
        <w:rPr>
          <w:sz w:val="20"/>
          <w:szCs w:val="20"/>
          <w:color w:val="auto"/>
        </w:rPr>
      </w:pPr>
      <w:r>
        <w:rPr>
          <w:rFonts w:ascii="Courier New" w:cs="Courier New" w:eastAsia="Courier New" w:hAnsi="Courier New"/>
          <w:sz w:val="18"/>
          <w:szCs w:val="18"/>
          <w:color w:val="auto"/>
        </w:rPr>
        <w:t>Page 11</w:t>
      </w:r>
    </w:p>
    <w:p>
      <w:pPr>
        <w:spacing w:after="0" w:line="200" w:lineRule="exact"/>
        <w:rPr>
          <w:sz w:val="20"/>
          <w:szCs w:val="20"/>
          <w:color w:val="auto"/>
        </w:rPr>
      </w:pPr>
    </w:p>
    <w:p>
      <w:pPr>
        <w:spacing w:after="0" w:line="20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"TRS Lessees" means those indirect subsidiaries of HMT Lessee that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were acquired by HMT Lessee from Crestline on January 11, 2001, effective January 1, 2001, pursuant to the Acquisition and Exchange Agreement.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
      <w:numFmt w:val="bullet"/>
      <w:start w:val="1"/>
    </w:lvl>
    <w:lvl w:ilvl="1">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
      <w:numFmt w:val="bullet"/>
      <w:start w:val="1"/>
    </w:lvl>
  </w:abstractNum>
  <w:abstractNum w:abstractNumId="5">
    <w:nsid w:val="140E0F76"/>
    <w:multiLevelType w:val="hybridMultilevel"/>
    <w:lvl w:ilvl="0">
      <w:lvlJc w:val="left"/>
      <w:lvlText w:val="-"/>
      <w:numFmt w:val="bullet"/>
      <w:start w:val="1"/>
    </w:lvl>
    <w:lvl w:ilvl="1">
      <w:lvlJc w:val="left"/>
      <w:lvlText w:val="****"/>
      <w:numFmt w:val="bullet"/>
      <w:start w:val="1"/>
    </w:lvl>
  </w:abstractNum>
  <w:abstractNum w:abstractNumId="6">
    <w:nsid w:val="3352255A"/>
    <w:multiLevelType w:val="hybridMultilevel"/>
    <w:lvl w:ilvl="0">
      <w:lvlJc w:val="left"/>
      <w:lvlText w:val="-"/>
      <w:numFmt w:val="bullet"/>
      <w:start w:val="1"/>
    </w:lvl>
    <w:lvl w:ilvl="1">
      <w:lvlJc w:val="left"/>
      <w:lvlText w:val="*****"/>
      <w:numFmt w:val="bullet"/>
      <w:start w:val="1"/>
    </w:lvl>
  </w:abstractNum>
  <w:abstractNum w:abstractNumId="7">
    <w:nsid w:val="109CF92E"/>
    <w:multiLevelType w:val="hybridMultilevel"/>
    <w:lvl w:ilvl="0">
      <w:lvlJc w:val="left"/>
      <w:lvlText w:val="(%1)"/>
      <w:numFmt w:val="decimal"/>
      <w:start w:val="1"/>
    </w:lvl>
    <w:lvl w:ilvl="1">
      <w:lvlJc w:val="left"/>
      <w:lvlText w:val="(%2)"/>
      <w:numFmt w:val="lowerRoman"/>
      <w:start w:val="1"/>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
      <w:numFmt w:val="bullet"/>
      <w:start w:val="1"/>
    </w:lvl>
    <w:lvl w:ilvl="1">
      <w:lvlJc w:val="left"/>
      <w:lvlText w:val="*"/>
      <w:numFmt w:val="bullet"/>
      <w:start w:val="1"/>
    </w:lvl>
  </w:abstractNum>
  <w:abstractNum w:abstractNumId="10">
    <w:nsid w:val="1BEFD79F"/>
    <w:multiLevelType w:val="hybridMultilevel"/>
    <w:lvl w:ilvl="0">
      <w:lvlJc w:val="left"/>
      <w:lvlText w:val="-"/>
      <w:numFmt w:val="bullet"/>
      <w:start w:val="1"/>
    </w:lvl>
    <w:lvl w:ilvl="1">
      <w:lvlJc w:val="left"/>
      <w:lvlText w:val="**"/>
      <w:numFmt w:val="bullet"/>
      <w:start w:val="1"/>
    </w:lvl>
  </w:abstractNum>
  <w:abstractNum w:abstractNumId="11">
    <w:nsid w:val="41A7C4C9"/>
    <w:multiLevelType w:val="hybridMultilevel"/>
    <w:lvl w:ilvl="0">
      <w:lvlJc w:val="left"/>
      <w:lvlText w:val="-"/>
      <w:numFmt w:val="bullet"/>
      <w:start w:val="1"/>
    </w:lvl>
    <w:lvl w:ilvl="1">
      <w:lvlJc w:val="left"/>
      <w:lvlText w:val="***"/>
      <w:numFmt w:val="bullet"/>
      <w:start w:val="1"/>
    </w:lvl>
  </w:abstractNum>
  <w:abstractNum w:abstractNumId="12">
    <w:nsid w:val="6B68079A"/>
    <w:multiLevelType w:val="hybridMultilevel"/>
    <w:lvl w:ilvl="0">
      <w:lvlJc w:val="left"/>
      <w:lvlText w:val="-"/>
      <w:numFmt w:val="bullet"/>
      <w:start w:val="1"/>
    </w:lvl>
    <w:lvl w:ilvl="1">
      <w:lvlJc w:val="left"/>
      <w:lvlText w:val="****"/>
      <w:numFmt w:val="bullet"/>
      <w:start w:val="1"/>
    </w:lvl>
  </w:abstractNum>
  <w:abstractNum w:abstractNumId="13">
    <w:nsid w:val="4E6AFB66"/>
    <w:multiLevelType w:val="hybridMultilevel"/>
    <w:lvl w:ilvl="0">
      <w:lvlJc w:val="left"/>
      <w:lvlText w:val="-"/>
      <w:numFmt w:val="bullet"/>
      <w:start w:val="1"/>
    </w:lvl>
    <w:lvl w:ilvl="1">
      <w:lvlJc w:val="left"/>
      <w:lvlText w:val="*****"/>
      <w:numFmt w:val="bullet"/>
      <w:start w:val="1"/>
    </w:lvl>
  </w:abstractNum>
  <w:abstractNum w:abstractNumId="14">
    <w:nsid w:val="25E45D32"/>
    <w:multiLevelType w:val="hybridMultilevel"/>
    <w:lvl w:ilvl="0">
      <w:lvlJc w:val="left"/>
      <w:lvlText w:val="(%1)"/>
      <w:numFmt w:val="decimal"/>
      <w:start w:val="202"/>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9"/>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2019-12-11T23:29:42Z</dcterms:created>
  <dcterms:modified xsi:type="dcterms:W3CDTF">2019-12-11T23:29:42Z</dcterms:modified>
</cp:coreProperties>
</file>