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HOST HOTELS &amp;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44107P104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44107P104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40,739,887.00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60,715,923.00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60,715,923.00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44107P104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40,385,420.00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60,098,013.00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60,098,013.00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44107P104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UK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282,072.00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545,515.00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545,515.00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44107P104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Asia LTD</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44107P104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IRELAND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72,395.00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72,395.00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72,395.00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 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80"/>
          </w:cols>
          <w:pgMar w:left="360" w:top="112" w:right="45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HOST HOTELS &amp; RESORTS,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4747 Bethesda Avenue, Suite 1300, Bathesda, United States, 20814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Cohen &amp; Steers, Inc. Cohen &amp; Steers Capital Management, Inc. Cohen &amp; Steers UK Ltd Cohen &amp; Steers Asia Ltd Cohen &amp; Steers Ireland Ltd</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60"/>
          </w:cols>
          <w:pgMar w:left="360" w:top="112" w:right="45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principal address for Cohen &amp; Steers, Inc. and Cohen &amp; Steers Capital Management, Inc. is: 1166 Avenue of the</w:t>
      </w:r>
    </w:p>
    <w:p>
      <w:pPr>
        <w:spacing w:after="0" w:line="26" w:lineRule="exact"/>
        <w:rPr>
          <w:sz w:val="20"/>
          <w:szCs w:val="20"/>
          <w:color w:val="auto"/>
        </w:rPr>
      </w:pPr>
    </w:p>
    <w:p>
      <w:pPr>
        <w:ind w:left="9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Americas, 30th Floor New York, NY 10036 The principal address for Cohen &amp; Steers UK Ltd. is: The Burlian, 2nd floor, 3 Dering Street, London W1S 1AA United Kingdom The principal address for Cohen &amp; Steers Asia Ltd. is: 1201-02 Champion Tower Three Garden Road Central, Hong Kong The principal address for Cohen &amp; Steers Ireland Ltd. is: Suite G01 81 Merrion Square South Dublin 2 D02 NR12 Ireland</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Cohen &amp; Steers, Inc: Delaware corporation Cohen &amp; Steers Capital Management, Inc: New York corporation Cohen</w:t>
      </w:r>
    </w:p>
    <w:p>
      <w:pPr>
        <w:spacing w:after="0" w:line="25"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&amp; Steers UK Ltd: United Kingdom Private Limited Company Cohen &amp; Steers Asia Ltd: Asia Private Limited</w:t>
      </w: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 Cohen &amp; Steers Ireland Ltd: Ireland Private Limited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44107P104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right="960" w:hanging="912"/>
        <w:spacing w:after="0" w:line="258"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ectPr>
          <w:pgSz w:w="11900" w:h="16838" w:orient="portrait"/>
          <w:cols w:equalWidth="0" w:num="1">
            <w:col w:w="11080"/>
          </w:cols>
          <w:pgMar w:left="360" w:top="112" w:right="459" w:bottom="0" w:gutter="0" w:footer="0" w:header="0"/>
          <w:type w:val="continuous"/>
        </w:sectPr>
      </w:pPr>
    </w:p>
    <w:bookmarkStart w:id="5" w:name="page6"/>
    <w:bookmarkEnd w:id="5"/>
    <w:p>
      <w:pPr>
        <w:spacing w:after="0" w:line="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58" w:lineRule="exact"/>
        <w:rPr>
          <w:sz w:val="20"/>
          <w:szCs w:val="20"/>
          <w:color w:val="auto"/>
        </w:rPr>
      </w:pPr>
    </w:p>
    <w:p>
      <w:pPr>
        <w:ind w:left="920" w:right="5040" w:hanging="912"/>
        <w:spacing w:after="0" w:line="281"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Corporation</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on Cohen &amp; Steers,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on Cohen &amp; Steers, Inc.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9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row 5 on Cohen &amp; Steers, Inc.</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row 6 on Cohen &amp; Steers, Inc.</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on Cohen &amp; Steers, Inc.</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on Cohen &amp; Steers, Inc.</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p>
      <w:pPr>
        <w:spacing w:after="0" w:line="11" w:lineRule="exact"/>
        <w:rPr>
          <w:sz w:val="20"/>
          <w:szCs w:val="20"/>
          <w:color w:val="auto"/>
        </w:rPr>
      </w:pPr>
    </w:p>
    <w:p>
      <w:pPr>
        <w:sectPr>
          <w:pgSz w:w="11900" w:h="1689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5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w:t>
      </w:r>
    </w:p>
    <w:p>
      <w:pPr>
        <w:sectPr>
          <w:pgSz w:w="11900" w:h="16898" w:orient="portrait"/>
          <w:cols w:equalWidth="0" w:num="1">
            <w:col w:w="11140"/>
          </w:cols>
          <w:pgMar w:left="360" w:top="111" w:right="399" w:bottom="0" w:gutter="0" w:footer="0" w:header="0"/>
          <w:type w:val="continuous"/>
        </w:sectPr>
      </w:pPr>
    </w:p>
    <w:bookmarkStart w:id="6" w:name="page7"/>
    <w:bookmarkEnd w:id="6"/>
    <w:p>
      <w:pPr>
        <w:jc w:val="both"/>
        <w:ind w:left="720" w:right="80"/>
        <w:spacing w:after="0" w:line="244" w:lineRule="auto"/>
        <w:rPr>
          <w:sz w:val="20"/>
          <w:szCs w:val="20"/>
          <w:color w:val="auto"/>
        </w:rPr>
      </w:pPr>
      <w:r>
        <w:rPr>
          <w:rFonts w:ascii="Times New Roman" w:cs="Times New Roman" w:eastAsia="Times New Roman" w:hAnsi="Times New Roman"/>
          <w:sz w:val="22"/>
          <w:szCs w:val="22"/>
          <w:color w:val="auto"/>
        </w:rPr>
        <w:t>belief, the foreign regulatory scheme applicable to Corporation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COHEN &amp; STEERS,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Francis Poli</w:t>
      </w:r>
    </w:p>
    <w:p>
      <w:pPr>
        <w:spacing w:after="0" w:line="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Francis</w:t>
      </w:r>
      <w:r>
        <w:rPr>
          <w:rFonts w:ascii="Times New Roman" w:cs="Times New Roman" w:eastAsia="Times New Roman" w:hAnsi="Times New Roman"/>
          <w:sz w:val="37"/>
          <w:szCs w:val="37"/>
          <w:color w:val="auto"/>
          <w:vertAlign w:val="subscript"/>
        </w:rPr>
        <w:t>CCO</w:t>
      </w:r>
      <w:r>
        <w:rPr>
          <w:rFonts w:ascii="Times New Roman" w:cs="Times New Roman" w:eastAsia="Times New Roman" w:hAnsi="Times New Roman"/>
          <w:sz w:val="19"/>
          <w:szCs w:val="19"/>
          <w:color w:val="auto"/>
        </w:rPr>
        <w:t xml:space="preserve"> Poli/EVP, General Counsel and Global</w:t>
      </w:r>
    </w:p>
    <w:p>
      <w:pPr>
        <w:spacing w:after="0" w:line="129"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Cohen &amp; Steers Capital Management,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Francis Poli</w:t>
      </w:r>
    </w:p>
    <w:p>
      <w:pPr>
        <w:spacing w:after="0" w:line="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Francis</w:t>
      </w:r>
      <w:r>
        <w:rPr>
          <w:rFonts w:ascii="Times New Roman" w:cs="Times New Roman" w:eastAsia="Times New Roman" w:hAnsi="Times New Roman"/>
          <w:sz w:val="37"/>
          <w:szCs w:val="37"/>
          <w:color w:val="auto"/>
          <w:vertAlign w:val="subscript"/>
        </w:rPr>
        <w:t>CCO</w:t>
      </w:r>
      <w:r>
        <w:rPr>
          <w:rFonts w:ascii="Times New Roman" w:cs="Times New Roman" w:eastAsia="Times New Roman" w:hAnsi="Times New Roman"/>
          <w:sz w:val="19"/>
          <w:szCs w:val="19"/>
          <w:color w:val="auto"/>
        </w:rPr>
        <w:t xml:space="preserve"> Poli/EVP, General Counsel and Global</w:t>
      </w:r>
    </w:p>
    <w:p>
      <w:pPr>
        <w:spacing w:after="0" w:line="129"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Cohen &amp; Steers UK Ltd</w:t>
      </w:r>
    </w:p>
    <w:p>
      <w:pPr>
        <w:spacing w:after="0" w:line="152" w:lineRule="exact"/>
        <w:rPr>
          <w:sz w:val="20"/>
          <w:szCs w:val="20"/>
          <w:color w:val="auto"/>
        </w:rPr>
      </w:pPr>
    </w:p>
    <w:p>
      <w:pPr>
        <w:ind w:left="448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Natalie Okorie</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Natalie Okorie/VP, Compliance Officer</w:t>
      </w:r>
    </w:p>
    <w:p>
      <w:pPr>
        <w:spacing w:after="0" w:line="44" w:lineRule="exact"/>
        <w:rPr>
          <w:sz w:val="20"/>
          <w:szCs w:val="20"/>
          <w:color w:val="auto"/>
        </w:rPr>
      </w:pPr>
    </w:p>
    <w:p>
      <w:pPr>
        <w:ind w:left="448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Cohen &amp; Steers Asia LTD</w:t>
      </w:r>
    </w:p>
    <w:p>
      <w:pPr>
        <w:spacing w:after="0" w:line="152" w:lineRule="exact"/>
        <w:rPr>
          <w:sz w:val="20"/>
          <w:szCs w:val="20"/>
          <w:color w:val="auto"/>
        </w:rPr>
      </w:pPr>
    </w:p>
    <w:p>
      <w:pPr>
        <w:ind w:left="4660"/>
        <w:spacing w:after="0"/>
        <w:tabs>
          <w:tab w:leader="none" w:pos="5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Catherine Cheng</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Catherine Cheng/VP, Compliance Officer</w:t>
      </w:r>
    </w:p>
    <w:p>
      <w:pPr>
        <w:spacing w:after="0" w:line="44" w:lineRule="exact"/>
        <w:rPr>
          <w:sz w:val="20"/>
          <w:szCs w:val="20"/>
          <w:color w:val="auto"/>
        </w:rPr>
      </w:pPr>
    </w:p>
    <w:p>
      <w:pPr>
        <w:ind w:left="4660"/>
        <w:spacing w:after="0"/>
        <w:tabs>
          <w:tab w:leader="none" w:pos="5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Alan Cooper</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Alan Cooper/VP, Compliance Officer</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2025-05-15T08:07:24Z</dcterms:created>
  <dcterms:modified xsi:type="dcterms:W3CDTF">2025-05-15T08:07:24Z</dcterms:modified>
</cp:coreProperties>
</file>