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Gordon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4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236"/>
        <w:gridCol w:w="276"/>
        <w:gridCol w:w="906"/>
        <w:gridCol w:w="801"/>
        <w:gridCol w:w="891"/>
        <w:gridCol w:w="1341"/>
        <w:gridCol w:w="801"/>
        <w:gridCol w:w="1281"/>
        <w:gridCol w:w="831"/>
        <w:gridCol w:w="846"/>
      </w:tblGrid>
      <w:tr>
        <w:trPr>
          <w:tblHeader w:val="true"/>
        </w:trPr>
        <w:tc>
          <w:tcPr>
            <w:tcW w:w="134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2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11,612.9032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11,612.9032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2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121,833.6242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deferred stock units were granted to the director in lieu of an annual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are fully vested and will be settled in shares of the Issuer's common stock on a date selected by the reporting person pursuant to the Host Hotels &amp; Resorts, Inc.'s Non-Employee Directors' Deferred Stock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Kelso, Attorney-in-Fact For: Gordon H. 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027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3479</Characters>
  <CharactersWithSpaces>4064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