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ind w:left="2124"/>
        <w:spacing w:after="0"/>
        <w:rPr>
          <w:sz w:val="20"/>
          <w:szCs w:val="20"/>
          <w:color w:val="auto"/>
        </w:rPr>
      </w:pPr>
      <w:r>
        <w:rPr>
          <w:rFonts w:ascii="Arial" w:cs="Arial" w:eastAsia="Arial" w:hAnsi="Arial"/>
          <w:sz w:val="43"/>
          <w:szCs w:val="43"/>
          <w:b w:val="1"/>
          <w:bCs w:val="1"/>
          <w:color w:val="auto"/>
        </w:rPr>
        <w:t>HOST HOTELS &amp; RESORTS, INC.</w:t>
      </w:r>
    </w:p>
    <w:p>
      <w:pPr>
        <w:spacing w:after="0" w:line="55" w:lineRule="exact"/>
        <w:rPr>
          <w:sz w:val="24"/>
          <w:szCs w:val="24"/>
          <w:color w:val="auto"/>
        </w:rPr>
      </w:pPr>
    </w:p>
    <w:p>
      <w:pPr>
        <w:ind w:left="2204"/>
        <w:spacing w:after="0"/>
        <w:rPr>
          <w:sz w:val="20"/>
          <w:szCs w:val="20"/>
          <w:color w:val="auto"/>
        </w:rPr>
      </w:pPr>
      <w:r>
        <w:rPr>
          <w:rFonts w:ascii="Arial" w:cs="Arial" w:eastAsia="Arial" w:hAnsi="Arial"/>
          <w:sz w:val="43"/>
          <w:szCs w:val="43"/>
          <w:b w:val="1"/>
          <w:bCs w:val="1"/>
          <w:color w:val="auto"/>
        </w:rPr>
        <w:t>HOST HOTELS &amp; RESORTS, L.P.</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344"/>
        <w:spacing w:after="0"/>
        <w:rPr>
          <w:sz w:val="20"/>
          <w:szCs w:val="20"/>
          <w:color w:val="auto"/>
        </w:rPr>
      </w:pPr>
      <w:r>
        <w:rPr>
          <w:rFonts w:ascii="Arial" w:cs="Arial" w:eastAsia="Arial" w:hAnsi="Arial"/>
          <w:sz w:val="16"/>
          <w:szCs w:val="16"/>
          <w:b w:val="1"/>
          <w:bCs w:val="1"/>
          <w:color w:val="auto"/>
        </w:rPr>
        <w:t>Maryland (Host Hotels &amp; Resorts, Inc.)</w:t>
      </w:r>
    </w:p>
    <w:p>
      <w:pPr>
        <w:spacing w:after="0" w:line="50" w:lineRule="exact"/>
        <w:rPr>
          <w:sz w:val="24"/>
          <w:szCs w:val="24"/>
          <w:color w:val="auto"/>
        </w:rPr>
      </w:pPr>
    </w:p>
    <w:p>
      <w:pPr>
        <w:ind w:left="364"/>
        <w:spacing w:after="0"/>
        <w:rPr>
          <w:sz w:val="20"/>
          <w:szCs w:val="20"/>
          <w:color w:val="auto"/>
        </w:rPr>
      </w:pPr>
      <w:r>
        <w:rPr>
          <w:rFonts w:ascii="Arial" w:cs="Arial" w:eastAsia="Arial" w:hAnsi="Arial"/>
          <w:sz w:val="16"/>
          <w:szCs w:val="16"/>
          <w:b w:val="1"/>
          <w:bCs w:val="1"/>
          <w:color w:val="auto"/>
        </w:rPr>
        <w:t>Delaware (Host Hotels &amp; Resorts, L.P.)</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001-14625</w:t>
      </w:r>
    </w:p>
    <w:p>
      <w:pPr>
        <w:spacing w:after="0" w:line="50"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0-25087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53-0085950</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52-2095412</w:t>
      </w:r>
    </w:p>
    <w:p>
      <w:pPr>
        <w:spacing w:after="0" w:line="25"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6"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spacing w:after="0" w:line="6" w:lineRule="exact"/>
        <w:rPr>
          <w:sz w:val="24"/>
          <w:szCs w:val="24"/>
          <w:color w:val="auto"/>
        </w:rPr>
      </w:pP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4747 Bethesda Avenue, Suite 1300</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Bethesda, Maryland 20814</w:t>
      </w:r>
    </w:p>
    <w:p>
      <w:pPr>
        <w:spacing w:after="0" w:line="2" w:lineRule="exact"/>
        <w:rPr>
          <w:sz w:val="24"/>
          <w:szCs w:val="24"/>
          <w:color w:val="auto"/>
        </w:rPr>
      </w:pPr>
    </w:p>
    <w:p>
      <w:pPr>
        <w:jc w:val="center"/>
        <w:ind w:right="16"/>
        <w:spacing w:after="0"/>
        <w:tabs>
          <w:tab w:leader="none" w:pos="14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11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(240) 744-1000</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5"/>
          <w:szCs w:val="15"/>
          <w:b w:val="1"/>
          <w:bCs w:val="1"/>
          <w:color w:val="auto"/>
        </w:rPr>
        <w:t>Registrant’s telephone number, including area code</w:t>
      </w:r>
    </w:p>
    <w:p>
      <w:pPr>
        <w:sectPr>
          <w:pgSz w:w="11900" w:h="16838" w:orient="portrait"/>
          <w:cols w:equalWidth="0" w:num="1">
            <w:col w:w="11024"/>
          </w:cols>
          <w:pgMar w:left="436" w:top="368" w:right="439" w:bottom="1440" w:gutter="0" w:footer="0" w:header="0"/>
          <w:type w:val="continuous"/>
        </w:sectPr>
      </w:pPr>
    </w:p>
    <w:p>
      <w:pPr>
        <w:spacing w:after="0" w:line="17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264" w:type="dxa"/>
        <w:tblCellMar>
          <w:top w:w="0" w:type="dxa"/>
          <w:left w:w="0" w:type="dxa"/>
          <w:bottom w:w="0" w:type="dxa"/>
          <w:right w:w="0" w:type="dxa"/>
        </w:tblCellMar>
      </w:tblPr>
      <w:tr>
        <w:trPr>
          <w:trHeight w:val="150"/>
        </w:trPr>
        <w:tc>
          <w:tcPr>
            <w:tcW w:w="2520" w:type="dxa"/>
            <w:vAlign w:val="bottom"/>
          </w:tcPr>
          <w:p>
            <w:pPr>
              <w:spacing w:after="0"/>
              <w:rPr>
                <w:sz w:val="13"/>
                <w:szCs w:val="13"/>
                <w:color w:val="auto"/>
              </w:rPr>
            </w:pPr>
          </w:p>
        </w:tc>
        <w:tc>
          <w:tcPr>
            <w:tcW w:w="2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Title of Each Class</w:t>
            </w:r>
          </w:p>
        </w:tc>
        <w:tc>
          <w:tcPr>
            <w:tcW w:w="2860" w:type="dxa"/>
            <w:vAlign w:val="bottom"/>
            <w:gridSpan w:val="2"/>
          </w:tcPr>
          <w:p>
            <w:pPr>
              <w:jc w:val="center"/>
              <w:ind w:right="120"/>
              <w:spacing w:after="0" w:line="150" w:lineRule="exact"/>
              <w:rPr>
                <w:sz w:val="20"/>
                <w:szCs w:val="20"/>
                <w:color w:val="auto"/>
              </w:rPr>
            </w:pPr>
            <w:r>
              <w:rPr>
                <w:rFonts w:ascii="Arial" w:cs="Arial" w:eastAsia="Arial" w:hAnsi="Arial"/>
                <w:sz w:val="14"/>
                <w:szCs w:val="14"/>
                <w:b w:val="1"/>
                <w:bCs w:val="1"/>
                <w:color w:val="auto"/>
                <w:w w:val="97"/>
              </w:rPr>
              <w:t>Trading</w:t>
            </w:r>
          </w:p>
        </w:tc>
        <w:tc>
          <w:tcPr>
            <w:tcW w:w="26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2520" w:type="dxa"/>
            <w:vAlign w:val="bottom"/>
            <w:vMerge w:val="restart"/>
          </w:tcPr>
          <w:p>
            <w:pPr>
              <w:spacing w:after="0"/>
              <w:rPr>
                <w:sz w:val="20"/>
                <w:szCs w:val="20"/>
                <w:color w:val="auto"/>
              </w:rPr>
            </w:pPr>
            <w:r>
              <w:rPr>
                <w:rFonts w:ascii="Arial" w:cs="Arial" w:eastAsia="Arial" w:hAnsi="Arial"/>
                <w:sz w:val="18"/>
                <w:szCs w:val="18"/>
                <w:b w:val="1"/>
                <w:bCs w:val="1"/>
                <w:color w:val="auto"/>
              </w:rPr>
              <w:t>Host Hotels &amp; Resorts, Inc.</w:t>
            </w:r>
          </w:p>
        </w:tc>
        <w:tc>
          <w:tcPr>
            <w:tcW w:w="2740" w:type="dxa"/>
            <w:vAlign w:val="bottom"/>
            <w:gridSpan w:val="2"/>
            <w:vMerge w:val="continue"/>
          </w:tcPr>
          <w:p>
            <w:pPr>
              <w:spacing w:after="0"/>
              <w:rPr>
                <w:sz w:val="16"/>
                <w:szCs w:val="16"/>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Symbol</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1"/>
              </w:rPr>
              <w:t>on Which Registered</w:t>
            </w:r>
          </w:p>
        </w:tc>
        <w:tc>
          <w:tcPr>
            <w:tcW w:w="0" w:type="dxa"/>
            <w:vAlign w:val="bottom"/>
          </w:tcPr>
          <w:p>
            <w:pPr>
              <w:spacing w:after="0"/>
              <w:rPr>
                <w:sz w:val="1"/>
                <w:szCs w:val="1"/>
                <w:color w:val="auto"/>
              </w:rPr>
            </w:pPr>
          </w:p>
        </w:tc>
      </w:tr>
      <w:tr>
        <w:trPr>
          <w:trHeight w:val="191"/>
        </w:trPr>
        <w:tc>
          <w:tcPr>
            <w:tcW w:w="2520" w:type="dxa"/>
            <w:vAlign w:val="bottom"/>
            <w:vMerge w:val="continue"/>
          </w:tcPr>
          <w:p>
            <w:pPr>
              <w:spacing w:after="0"/>
              <w:rPr>
                <w:sz w:val="16"/>
                <w:szCs w:val="16"/>
                <w:color w:val="auto"/>
              </w:rPr>
            </w:pPr>
          </w:p>
        </w:tc>
        <w:tc>
          <w:tcPr>
            <w:tcW w:w="26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HST</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rPr>
              <w:t>Host Hotels &amp; Resorts, L.P.</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None</w:t>
            </w:r>
          </w:p>
        </w:tc>
        <w:tc>
          <w:tcPr>
            <w:tcW w:w="2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None</w:t>
            </w: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8"/>
              </w:rPr>
              <w:t>None</w:t>
            </w:r>
          </w:p>
        </w:tc>
        <w:tc>
          <w:tcPr>
            <w:tcW w:w="0" w:type="dxa"/>
            <w:vAlign w:val="bottom"/>
          </w:tcPr>
          <w:p>
            <w:pPr>
              <w:spacing w:after="0"/>
              <w:rPr>
                <w:sz w:val="1"/>
                <w:szCs w:val="1"/>
                <w:color w:val="auto"/>
              </w:rPr>
            </w:pPr>
          </w:p>
        </w:tc>
      </w:tr>
    </w:tbl>
    <w:p>
      <w:pPr>
        <w:spacing w:after="0" w:line="121" w:lineRule="exact"/>
        <w:rPr>
          <w:sz w:val="24"/>
          <w:szCs w:val="24"/>
          <w:color w:val="auto"/>
        </w:rPr>
      </w:pPr>
    </w:p>
    <w:p>
      <w:pPr>
        <w:jc w:val="both"/>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jc w:val="both"/>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July 31, 2020 Operational Update</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ongoing effects of the COVID-19 pandemic on our operations and future bookings have had and will continue to have a material negative impact on our financial results and cash flows, and such negative impact may continue well after restrictive measures imposed by federal, state, local and other government authorities to contain the outbreak have been lifted. During the first quarter, we suspended operations at 35 hotels and, as of August 30, 2020, operations remain suspended at 10 of these hotels. Luxury and upper upscale hotels in large urban markets, which are the markets where a majority of our hotels are located, have been, and we anticipate will continue to be, the most heavily affected through the current crisis, due in part to the sharp decline in air travel and international travel, business travel and group business. During the second quarter and continuing through July, demand at our hotels was primarily leisure demand at drive-to and resort destinations.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preliminary performance information for all owned hotels in our portfolio for the month ended July 31, 2020:</w:t>
      </w:r>
    </w:p>
    <w:p>
      <w:pPr>
        <w:spacing w:after="0" w:line="244"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Estimated</w:t>
            </w:r>
          </w:p>
        </w:tc>
      </w:tr>
      <w:tr>
        <w:trPr>
          <w:trHeight w:val="119"/>
        </w:trPr>
        <w:tc>
          <w:tcPr>
            <w:tcW w:w="6420" w:type="dxa"/>
            <w:vAlign w:val="bottom"/>
          </w:tcPr>
          <w:p>
            <w:pPr>
              <w:spacing w:after="0"/>
              <w:rPr>
                <w:sz w:val="10"/>
                <w:szCs w:val="10"/>
                <w:color w:val="auto"/>
              </w:rPr>
            </w:pPr>
          </w:p>
        </w:tc>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Month Ended</w:t>
            </w:r>
          </w:p>
        </w:tc>
        <w:tc>
          <w:tcPr>
            <w:tcW w:w="200" w:type="dxa"/>
            <w:vAlign w:val="bottom"/>
          </w:tcPr>
          <w:p>
            <w:pPr>
              <w:spacing w:after="0"/>
              <w:rPr>
                <w:sz w:val="10"/>
                <w:szCs w:val="10"/>
                <w:color w:val="auto"/>
              </w:rPr>
            </w:pPr>
          </w:p>
        </w:tc>
      </w:tr>
      <w:tr>
        <w:trPr>
          <w:trHeight w:val="171"/>
        </w:trPr>
        <w:tc>
          <w:tcPr>
            <w:tcW w:w="642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31, 2020</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Average occupancy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Average daily rate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177.76</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22.94</w:t>
            </w: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 xml:space="preserve">Total revenues </w:t>
            </w:r>
            <w:r>
              <w:rPr>
                <w:rFonts w:ascii="Arial" w:cs="Arial" w:eastAsia="Arial" w:hAnsi="Arial"/>
                <w:sz w:val="18"/>
                <w:szCs w:val="18"/>
                <w:i w:val="1"/>
                <w:iCs w:val="1"/>
                <w:color w:val="auto"/>
              </w:rPr>
              <w:t>(in millions)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r>
    </w:tbl>
    <w:p>
      <w:pPr>
        <w:spacing w:after="0" w:line="18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are presenting preliminary estimates of certain financial information for the month ended July 31, 2020 that will form a part of our results for the quarter ended September 30, 2020. We have prepared these preliminary estimates disclosed in good faith based upon our internal estimates for the month ended July 31, 2020. These estimates are preliminary and unaudited and are inherently uncertain and subject to change as we complete our financial statements for the quarter. Given the timing of these estimates, we have not completed our customary financial closing and review procedures, including the completion of final journal entries and management’s review of the results. We may identify other items that require material adjustments to our preliminary estimates as we close our books for the quarter. Final results for the month ended July 31, 2020 could differ materially from these estimates. Additionally, there can be no assurance that the results for the quarter ended September 30, 2020 will be consistent with our results for the month ended July 31, 2020, and any such differences could be material. You should exercise caution in relying on this information and should not place undue reliance on this information or draw any inferences from this information regarding financial or operating data not yet provided or available. These preliminary results are subject to review by our audit committee and our independent registered public accounting firm. Accordingly, our independent auditors do not express an opinion or any other form of assurance with respect thereto.</w:t>
      </w:r>
    </w:p>
    <w:p>
      <w:pPr>
        <w:spacing w:after="0" w:line="17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Important factors that could cause our actual results to differ from our preliminary estimates are set forth under the headings “Risk Factors” in our most recent annual report on Form 10-K and subsequent quarterly reports on Form 10-Q and in our other filings with the Securities and Exchange Commission.</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information furnished under Item 7.01 in this Form 8-K shall not be deemed “filed” for purposes of Section 18 of the Exchange Act, or otherwise subject to the liabilities of that section and shall not be deemed incorporated by reference in any filing made by the Company under the Securities Act or the Exchange Act, except as set forth by specific reference in such filing.</w:t>
      </w:r>
    </w:p>
    <w:p>
      <w:pPr>
        <w:sectPr>
          <w:pgSz w:w="11900" w:h="16838" w:orient="portrait"/>
          <w:cols w:equalWidth="0" w:num="1">
            <w:col w:w="11000"/>
          </w:cols>
          <w:pgMar w:left="440"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HOST HOTELS &amp; RESORTS,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31,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G. Macnamara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Brian G. Macnamara</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Principal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Financial Officer and Corporate Controller</w:t>
      </w:r>
    </w:p>
    <w:p>
      <w:pPr>
        <w:sectPr>
          <w:pgSz w:w="11900" w:h="16838" w:orient="portrait"/>
          <w:cols w:equalWidth="0" w:num="1">
            <w:col w:w="10700"/>
          </w:cols>
          <w:pgMar w:left="440" w:top="297" w:right="75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HOST HOTELS &amp; RESORTS, L.P.</w:t>
      </w:r>
    </w:p>
    <w:p>
      <w:pPr>
        <w:sectPr>
          <w:pgSz w:w="11900" w:h="16838" w:orient="portrait"/>
          <w:cols w:equalWidth="0" w:num="1">
            <w:col w:w="10700"/>
          </w:cols>
          <w:pgMar w:left="440" w:top="297" w:right="759" w:bottom="1440" w:gutter="0" w:footer="0" w:header="0"/>
        </w:sect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31, 2020</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HOST HOTELS &amp; RESORTS,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Brian G. Macnamara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1457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G. Macnamara</w:t>
      </w:r>
    </w:p>
    <w:p>
      <w:pPr>
        <w:spacing w:after="0" w:line="23" w:lineRule="exact"/>
        <w:rPr>
          <w:sz w:val="20"/>
          <w:szCs w:val="20"/>
          <w:color w:val="auto"/>
        </w:rPr>
      </w:pPr>
    </w:p>
    <w:p>
      <w:pPr>
        <w:ind w:right="1640"/>
        <w:spacing w:after="0" w:line="323" w:lineRule="auto"/>
        <w:rPr>
          <w:sz w:val="20"/>
          <w:szCs w:val="20"/>
          <w:color w:val="auto"/>
        </w:rPr>
      </w:pPr>
      <w:r>
        <w:rPr>
          <w:rFonts w:ascii="Arial" w:cs="Arial" w:eastAsia="Arial" w:hAnsi="Arial"/>
          <w:sz w:val="16"/>
          <w:szCs w:val="16"/>
          <w:color w:val="auto"/>
        </w:rPr>
        <w:t>Senior Vice President, Principal Financial Officer and Corporate Controller</w:t>
      </w:r>
    </w:p>
    <w:sectPr>
      <w:pgSz w:w="11900" w:h="16838" w:orient="portrait"/>
      <w:cols w:equalWidth="0" w:num="2">
        <w:col w:w="5880" w:space="180"/>
        <w:col w:w="4640"/>
      </w:cols>
      <w:pgMar w:left="440" w:top="297" w:right="7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2020-08-31T08:16:54Z</dcterms:created>
  <dcterms:modified xsi:type="dcterms:W3CDTF">2020-08-31T08:16:54Z</dcterms:modified>
</cp:coreProperties>
</file>