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HOST HOTELS &amp; RESORTS,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21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001-14625</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53-0085950</w:t>
      </w:r>
    </w:p>
    <w:p>
      <w:pPr>
        <w:spacing w:after="0" w:line="61" w:lineRule="exact"/>
        <w:rPr>
          <w:sz w:val="24"/>
          <w:szCs w:val="24"/>
          <w:color w:val="auto"/>
        </w:rPr>
      </w:pPr>
    </w:p>
    <w:p>
      <w:pPr>
        <w:sectPr>
          <w:pgSz w:w="11900" w:h="16838" w:orient="portrait"/>
          <w:cols w:equalWidth="0" w:num="3">
            <w:col w:w="4500" w:space="720"/>
            <w:col w:w="2740" w:space="720"/>
            <w:col w:w="2560"/>
          </w:cols>
          <w:pgMar w:left="320" w:top="1440" w:right="339" w:bottom="1440" w:gutter="0" w:footer="0" w:header="0"/>
          <w:type w:val="continuous"/>
        </w:sect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8" w:lineRule="exact"/>
        <w:rPr>
          <w:sz w:val="24"/>
          <w:szCs w:val="24"/>
          <w:color w:val="auto"/>
        </w:rPr>
      </w:pPr>
    </w:p>
    <w:p>
      <w:pPr>
        <w:sectPr>
          <w:pgSz w:w="11900" w:h="16838" w:orient="portrait"/>
          <w:cols w:equalWidth="0" w:num="3">
            <w:col w:w="4480" w:space="720"/>
            <w:col w:w="2640" w:space="720"/>
            <w:col w:w="2680"/>
          </w:cols>
          <w:pgMar w:left="320" w:top="1440" w:right="3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4747 Bethesda Avenue, Suite 1300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20814</w:t>
      </w:r>
    </w:p>
    <w:p>
      <w:pPr>
        <w:spacing w:after="0" w:line="63"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744-1000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7" w:lineRule="exact"/>
        <w:rPr>
          <w:sz w:val="24"/>
          <w:szCs w:val="24"/>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00" w:type="dxa"/>
            <w:vAlign w:val="bottom"/>
            <w:vMerge w:val="restart"/>
          </w:tcPr>
          <w:p>
            <w:pPr>
              <w:spacing w:after="0"/>
              <w:rPr>
                <w:sz w:val="14"/>
                <w:szCs w:val="14"/>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00" w:type="dxa"/>
            <w:vAlign w:val="bottom"/>
            <w:vMerge w:val="restart"/>
          </w:tcPr>
          <w:p>
            <w:pPr>
              <w:spacing w:after="0"/>
              <w:rPr>
                <w:sz w:val="14"/>
                <w:szCs w:val="1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w:t>
            </w: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Which Registered</w:t>
            </w:r>
          </w:p>
        </w:tc>
        <w:tc>
          <w:tcPr>
            <w:tcW w:w="0" w:type="dxa"/>
            <w:vAlign w:val="bottom"/>
          </w:tcPr>
          <w:p>
            <w:pPr>
              <w:spacing w:after="0"/>
              <w:rPr>
                <w:sz w:val="1"/>
                <w:szCs w:val="1"/>
                <w:color w:val="auto"/>
              </w:rPr>
            </w:pPr>
          </w:p>
        </w:tc>
      </w:tr>
      <w:tr>
        <w:trPr>
          <w:trHeight w:val="18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Common Stock, $.01 par value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HST</w:t>
            </w: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right="660" w:firstLine="1134"/>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1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right="4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left="80" w:firstLine="648"/>
        <w:spacing w:after="0" w:line="253" w:lineRule="auto"/>
        <w:rPr>
          <w:sz w:val="20"/>
          <w:szCs w:val="20"/>
          <w:color w:val="auto"/>
        </w:rPr>
      </w:pPr>
      <w:r>
        <w:rPr>
          <w:rFonts w:ascii="Times New Roman" w:cs="Times New Roman" w:eastAsia="Times New Roman" w:hAnsi="Times New Roman"/>
          <w:sz w:val="17"/>
          <w:szCs w:val="17"/>
          <w:color w:val="auto"/>
        </w:rPr>
        <w:t>On May 31, 2023, Host Hotels &amp; Resorts, Inc. (the “Company”) entered into a distribution agreement (the “Distribution Agreement”), with (i) J.P. Morgan Securities LLC, BofA Securities, Inc, Goldman Sachs &amp; Co. LLC, Jefferies LLC, Morgan Stanley &amp; Co. LLC, Scotia Capital (USA) Inc., Truist Securities, Inc. and Wells Fargo Securities, LLC, as sales agents (in such capacity, each, a “Sales Agent” and collectively, the “Sales Agents”) or forward sellers acting as sales agents for the respective Forward Purchasers (as defined below) (in such capacity, each a “Forward Seller,” collectively, the “Forward Sellers” and together with the Sales Agents, the “Agents”), and (ii) JPMorgan Chase Bank, National Association, Bank of America, N.A., Goldman Sachs</w:t>
      </w:r>
    </w:p>
    <w:p>
      <w:pPr>
        <w:spacing w:after="0" w:line="2" w:lineRule="exact"/>
        <w:rPr>
          <w:sz w:val="20"/>
          <w:szCs w:val="20"/>
          <w:color w:val="auto"/>
        </w:rPr>
      </w:pPr>
    </w:p>
    <w:p>
      <w:pPr>
        <w:ind w:left="80" w:right="80" w:firstLine="8"/>
        <w:spacing w:after="0" w:line="244"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Jefferies LLC, Morgan Stanley &amp; Co. LLC, The Bank of Nova Scotia, Truist Bank and Wells Fargo Bank, National Association, as forward purchasers (in such capacity, each, a “Forward Purchaser” and collectively, the “Forward Purchasers”). Pursuant to the Distribution Agreement, the Company or any Forward Seller (as agent for its corresponding Forward Purchaser) may offer and sell, from time to time, shares of the Company’s common stock, $0.01 par value per share (the “Shares”), having a combined aggregate offering price of up to $600 million. The Company has not sold any Shares under the Distribution Agreement to date.</w:t>
      </w:r>
    </w:p>
    <w:p>
      <w:pPr>
        <w:spacing w:after="0" w:line="210" w:lineRule="exact"/>
        <w:rPr>
          <w:sz w:val="20"/>
          <w:szCs w:val="20"/>
          <w:color w:val="auto"/>
        </w:rPr>
      </w:pPr>
    </w:p>
    <w:p>
      <w:pPr>
        <w:ind w:left="80" w:right="180" w:firstLine="648"/>
        <w:spacing w:after="0"/>
        <w:rPr>
          <w:sz w:val="20"/>
          <w:szCs w:val="20"/>
          <w:color w:val="auto"/>
        </w:rPr>
      </w:pPr>
      <w:r>
        <w:rPr>
          <w:rFonts w:ascii="Times New Roman" w:cs="Times New Roman" w:eastAsia="Times New Roman" w:hAnsi="Times New Roman"/>
          <w:sz w:val="18"/>
          <w:szCs w:val="18"/>
          <w:color w:val="auto"/>
        </w:rPr>
        <w:t>On May 27, 2026, the Company and the Agents entered into an amendment (the “Amendment”) to the Distribution Agreement to extend the expiration date of the Distribution Agreement from May 31, 2026 until the earlier of: (i) the sale of Shares having an aggregate offering price of $600 million, (ii) termination by the Company in its sole discretion at any time, upon giving prior written notice to the Agents, the Forward Sellers and the Forward Purchasers, or (iii) termination by the Agents, Forward Sellers or the Forward Purchasers, as applicable, in their sole discretion at any time upon giving prior written notice to the Company. In addition, the Amendment also updates the settlement date for shares offered and sold to the next business day (T+1) to conform to changes in the settlement cycle since the Distribution Agreement was entered into in 2023. No other changes were made to the terms of the Distribution Agreement.</w:t>
      </w:r>
    </w:p>
    <w:p>
      <w:pPr>
        <w:spacing w:after="0" w:line="212" w:lineRule="exact"/>
        <w:rPr>
          <w:sz w:val="20"/>
          <w:szCs w:val="20"/>
          <w:color w:val="auto"/>
        </w:rPr>
      </w:pPr>
    </w:p>
    <w:p>
      <w:pPr>
        <w:ind w:left="80" w:right="3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filed hereto as Exhibit 10.1.</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Exhibits</w:t>
            </w:r>
          </w:p>
        </w:tc>
        <w:tc>
          <w:tcPr>
            <w:tcW w:w="88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100" w:type="dxa"/>
            <w:vAlign w:val="bottom"/>
            <w:gridSpan w:val="2"/>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Amendment No. 1 to Distribution Agreement, dated May 27, 2026, between Host Hotels &amp; Resorts, Inc., J.P. Morgan Securities LLC,</w:t>
            </w: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60" w:type="dxa"/>
            <w:vAlign w:val="bottom"/>
            <w:tcBorders>
              <w:top w:val="single" w:sz="8" w:color="0E32E1"/>
            </w:tcBorders>
            <w:gridSpan w:val="4"/>
          </w:tcPr>
          <w:p>
            <w:pPr>
              <w:spacing w:after="0" w:line="182" w:lineRule="exact"/>
              <w:rPr>
                <w:sz w:val="20"/>
                <w:szCs w:val="20"/>
                <w:color w:val="auto"/>
              </w:rPr>
            </w:pPr>
            <w:r>
              <w:rPr>
                <w:rFonts w:ascii="Times New Roman" w:cs="Times New Roman" w:eastAsia="Times New Roman" w:hAnsi="Times New Roman"/>
                <w:sz w:val="18"/>
                <w:szCs w:val="18"/>
                <w:color w:val="0E32E1"/>
              </w:rPr>
              <w:t>BofA Securities, Inc., Goldman Sachs &amp; Co. LLC, Jefferies LLC, Morgan Stanley &amp; Co. LLC, Scotia Capital (USA) Inc., Truist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60" w:type="dxa"/>
            <w:vAlign w:val="bottom"/>
            <w:tcBorders>
              <w:top w:val="single" w:sz="8" w:color="0E32E1"/>
            </w:tcBorders>
            <w:gridSpan w:val="3"/>
          </w:tcPr>
          <w:p>
            <w:pPr>
              <w:spacing w:after="0" w:line="182" w:lineRule="exact"/>
              <w:rPr>
                <w:sz w:val="20"/>
                <w:szCs w:val="20"/>
                <w:color w:val="auto"/>
              </w:rPr>
            </w:pPr>
            <w:r>
              <w:rPr>
                <w:rFonts w:ascii="Times New Roman" w:cs="Times New Roman" w:eastAsia="Times New Roman" w:hAnsi="Times New Roman"/>
                <w:sz w:val="18"/>
                <w:szCs w:val="18"/>
                <w:color w:val="0E32E1"/>
              </w:rPr>
              <w:t>Securities, Inc. and Wells Fargo Securities, LLC, each in their capacities as Agents and/or Forward Sellers (as applicable), and</w:t>
            </w:r>
          </w:p>
        </w:tc>
        <w:tc>
          <w:tcPr>
            <w:tcW w:w="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E32E1"/>
                <w:w w:val="99"/>
              </w:rPr>
              <w:t>JPMorgan</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80" w:type="dxa"/>
            <w:vAlign w:val="bottom"/>
            <w:tcBorders>
              <w:top w:val="single" w:sz="8" w:color="0E32E1"/>
              <w:bottom w:val="single" w:sz="8" w:color="0E32E1"/>
            </w:tcBorders>
            <w:gridSpan w:val="5"/>
          </w:tcPr>
          <w:p>
            <w:pPr>
              <w:spacing w:after="0" w:line="182" w:lineRule="exact"/>
              <w:rPr>
                <w:sz w:val="20"/>
                <w:szCs w:val="20"/>
                <w:color w:val="auto"/>
              </w:rPr>
            </w:pPr>
            <w:r>
              <w:rPr>
                <w:rFonts w:ascii="Times New Roman" w:cs="Times New Roman" w:eastAsia="Times New Roman" w:hAnsi="Times New Roman"/>
                <w:sz w:val="18"/>
                <w:szCs w:val="18"/>
                <w:color w:val="0E32E1"/>
                <w:w w:val="99"/>
              </w:rPr>
              <w:t>Chase Bank, National Association, Bank of America, N.A., Goldman Sachs &amp; Co. LLC, Jefferies LLC, Morgan Stanley &amp; Co. LLC, The</w:t>
            </w:r>
          </w:p>
        </w:tc>
        <w:tc>
          <w:tcPr>
            <w:tcW w:w="20" w:type="dxa"/>
            <w:vAlign w:val="bottom"/>
            <w:tcBorders>
              <w:bottom w:val="single" w:sz="8" w:color="0E32E1"/>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40" w:type="dxa"/>
            <w:vAlign w:val="bottom"/>
            <w:tcBorders>
              <w:bottom w:val="single" w:sz="8" w:color="0E32E1"/>
            </w:tcBorders>
            <w:gridSpan w:val="2"/>
          </w:tcPr>
          <w:p>
            <w:pPr>
              <w:spacing w:after="0" w:line="182" w:lineRule="exact"/>
              <w:rPr>
                <w:sz w:val="20"/>
                <w:szCs w:val="20"/>
                <w:color w:val="auto"/>
              </w:rPr>
            </w:pPr>
            <w:r>
              <w:rPr>
                <w:rFonts w:ascii="Times New Roman" w:cs="Times New Roman" w:eastAsia="Times New Roman" w:hAnsi="Times New Roman"/>
                <w:sz w:val="18"/>
                <w:szCs w:val="18"/>
                <w:color w:val="0E32E1"/>
                <w:w w:val="99"/>
              </w:rPr>
              <w:t>Bank of Nova Scotia, Truist Bank and Wells Fargo Bank, National Association, each in their capacities as Forward Purchasers.</w:t>
            </w:r>
          </w:p>
        </w:tc>
        <w:tc>
          <w:tcPr>
            <w:tcW w:w="7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561"/>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80" w:type="dxa"/>
            <w:vAlign w:val="bottom"/>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91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HOST HOTELS &amp; RESORTS, INC.</w:t>
            </w:r>
          </w:p>
        </w:tc>
      </w:tr>
      <w:tr>
        <w:trPr>
          <w:trHeight w:val="54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C. O</w:t>
            </w:r>
            <w:r>
              <w:rPr>
                <w:rFonts w:ascii="Times New Roman" w:cs="Times New Roman" w:eastAsia="Times New Roman" w:hAnsi="Times New Roman"/>
                <w:sz w:val="12"/>
                <w:szCs w:val="12"/>
                <w:color w:val="auto"/>
              </w:rPr>
              <w:t>TTINGER</w:t>
            </w:r>
          </w:p>
        </w:tc>
      </w:tr>
      <w:tr>
        <w:trPr>
          <w:trHeight w:val="27"/>
        </w:trPr>
        <w:tc>
          <w:tcPr>
            <w:tcW w:w="30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Joseph C. Ottinger</w:t>
            </w:r>
          </w:p>
        </w:tc>
      </w:tr>
      <w:tr>
        <w:trPr>
          <w:trHeight w:val="270"/>
        </w:trPr>
        <w:tc>
          <w:tcPr>
            <w:tcW w:w="3060" w:type="dxa"/>
            <w:vAlign w:val="bottom"/>
          </w:tcPr>
          <w:p>
            <w:pPr>
              <w:spacing w:after="0"/>
              <w:rPr>
                <w:sz w:val="23"/>
                <w:szCs w:val="23"/>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and Corporate Controller</w:t>
            </w:r>
          </w:p>
        </w:tc>
      </w:tr>
    </w:tbl>
    <w:p>
      <w:pPr>
        <w:sectPr>
          <w:pgSz w:w="11900" w:h="16838" w:orient="portrait"/>
          <w:cols w:equalWidth="0" w:num="1">
            <w:col w:w="11160"/>
          </w:cols>
          <w:pgMar w:left="320" w:top="1143"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 TO DISTRIBUTION AGREEMENT</w:t>
      </w:r>
    </w:p>
    <w:p>
      <w:pPr>
        <w:spacing w:after="0" w:line="2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This Amendment No. 1 to Distribution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and entered into as of May 27, 2026, by and among Host Hotels &amp; Resorts, Inc., a Maryland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J.P. Morgan Securities LLC, BofA Securities, Inc., Goldman Sachs &amp; Co. LLC, Jefferies LLC, Morgan Stanley &amp; Co. LLC, Scotia Capital (USA) Inc., Truist Securities, Inc. and Wells Fargo Securities, LLC, each in their capacities as Agents and/or Forward Sellers (as applicable), and JPMorgan Chase Bank, National Association, Bank of America, N.A., Goldman Sachs &amp; Co. LLC, Jefferies LLC, Morgan Stanley &amp; Co. LLC, The Bank of Nova Scotia, Truist Bank and Wells Fargo Bank, National Association, each in their capacities as Forward Purchasers.</w:t>
      </w:r>
    </w:p>
    <w:p>
      <w:pPr>
        <w:spacing w:after="0" w:line="175" w:lineRule="exact"/>
        <w:rPr>
          <w:sz w:val="20"/>
          <w:szCs w:val="20"/>
          <w:color w:val="auto"/>
        </w:rPr>
      </w:pPr>
    </w:p>
    <w:p>
      <w:pPr>
        <w:ind w:right="74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are party to that certain Distribution Agreement, dated as of May 31, 2023 (the “</w:t>
      </w:r>
      <w:r>
        <w:rPr>
          <w:rFonts w:ascii="Times New Roman" w:cs="Times New Roman" w:eastAsia="Times New Roman" w:hAnsi="Times New Roman"/>
          <w:sz w:val="20"/>
          <w:szCs w:val="20"/>
          <w:u w:val="single" w:color="auto"/>
          <w:color w:val="auto"/>
        </w:rPr>
        <w:t>Distribution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5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Distribution Agreement provides for the offering and sale of common stock, $0.01 par value per share,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having an aggregate Gross Sales Price of up to $600,000,000;</w:t>
      </w:r>
    </w:p>
    <w:p>
      <w:pPr>
        <w:spacing w:after="0" w:line="165"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Section 19 of the Distribution Agreement provides that the Distribution Agreement may be amended in writing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parties thereto; and</w:t>
      </w:r>
    </w:p>
    <w:p>
      <w:pPr>
        <w:spacing w:after="0" w:line="165" w:lineRule="exact"/>
        <w:rPr>
          <w:sz w:val="20"/>
          <w:szCs w:val="20"/>
          <w:color w:val="auto"/>
        </w:rPr>
      </w:pPr>
    </w:p>
    <w:p>
      <w:pPr>
        <w:ind w:right="40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the Distribution Agreement to modify certain provisions relating to the term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the Distribution Agreement.</w:t>
      </w:r>
    </w:p>
    <w:p>
      <w:pPr>
        <w:spacing w:after="0" w:line="138" w:lineRule="exact"/>
        <w:rPr>
          <w:sz w:val="20"/>
          <w:szCs w:val="20"/>
          <w:color w:val="auto"/>
        </w:rPr>
      </w:pPr>
    </w:p>
    <w:p>
      <w:pPr>
        <w:ind w:right="38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premises and for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are hereby acknowledged, the Parties hereby agree as follows:</w:t>
      </w:r>
    </w:p>
    <w:p>
      <w:pPr>
        <w:spacing w:after="0" w:line="142"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180" w:firstLine="1304"/>
        <w:spacing w:after="0" w:line="261" w:lineRule="auto"/>
        <w:tabs>
          <w:tab w:leader="none" w:pos="193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in the Distribution Agreement to the Company’s registration statement on Form S-3ASR (No. 333-264313) are hereby deleted and replaced with references to the Company’s registration statement on Form S-3ASR (No. 333-286435), filed with the Securities and Exchange Commission on April 8, 2025.</w:t>
      </w:r>
    </w:p>
    <w:p>
      <w:pPr>
        <w:spacing w:after="0" w:line="18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2(c) of the Distribution Agreement is hereby amended and replaced in its entirety to read as follows:</w:t>
      </w:r>
    </w:p>
    <w:p>
      <w:pPr>
        <w:spacing w:after="0" w:line="21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“(c) Payment of the Net Agency Sales Price for Shares sold by the Company on any Purchase Date pursuant to a Transaction Acceptance shall be made to the Company by wire transfer of immediately available funds to the account of the Company (which the Company shall provide to the Agent at least one Exchange Business Day prior to the applicable Agency Settlement Date (as defined below)) against delivery of such Shares to such Agent’s account, or an account of such Agent’s designee, at The Depository Trust Company through its Deposit and Withdrawal at Custodian System (“</w:t>
      </w:r>
      <w:r>
        <w:rPr>
          <w:rFonts w:ascii="Times New Roman" w:cs="Times New Roman" w:eastAsia="Times New Roman" w:hAnsi="Times New Roman"/>
          <w:sz w:val="20"/>
          <w:szCs w:val="20"/>
          <w:b w:val="1"/>
          <w:bCs w:val="1"/>
          <w:color w:val="auto"/>
        </w:rPr>
        <w:t>DWAC</w:t>
      </w:r>
      <w:r>
        <w:rPr>
          <w:rFonts w:ascii="Times New Roman" w:cs="Times New Roman" w:eastAsia="Times New Roman" w:hAnsi="Times New Roman"/>
          <w:sz w:val="20"/>
          <w:szCs w:val="20"/>
          <w:color w:val="auto"/>
        </w:rPr>
        <w:t>”) or by such other means of delivery as may be agreed to by the Company and such Agent. Such payment and delivery shall be made at or about 10:00 a.m. (New York City time) on the first Exchange Business Day (or such other day as may, from time to time, become standard industry practice for settlement of such a securities issuance or as agreed to by the Company and the applicable Agent) following each Purchase Date (each, an “</w:t>
      </w:r>
      <w:r>
        <w:rPr>
          <w:rFonts w:ascii="Times New Roman" w:cs="Times New Roman" w:eastAsia="Times New Roman" w:hAnsi="Times New Roman"/>
          <w:sz w:val="20"/>
          <w:szCs w:val="20"/>
          <w:b w:val="1"/>
          <w:bCs w:val="1"/>
          <w:color w:val="auto"/>
        </w:rPr>
        <w:t>Agency Settlement Date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7" w:right="339" w:bottom="1440" w:gutter="0" w:footer="0" w:header="0"/>
        </w:sectPr>
      </w:pPr>
    </w:p>
    <w:bookmarkStart w:id="4" w:name="page5"/>
    <w:bookmarkEnd w:id="4"/>
    <w:p>
      <w:pPr>
        <w:ind w:left="4" w:right="900" w:firstLine="644"/>
        <w:spacing w:after="0" w:line="471"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8 of the Distribution Agreement is hereby amended and replaced in its entirety to read as follows: “8.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1304" w:right="60" w:hanging="1304"/>
        <w:spacing w:after="0" w:line="253" w:lineRule="auto"/>
        <w:tabs>
          <w:tab w:leader="none" w:pos="4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may terminate this Agreement in its sole discretion at any time upon prior written notice to the Agents, the Forward Sellers and the Forward Purchasers. Any such termination shall be without liability of any party to any other party, except that (A) with respect to any pending sale, the obligations of the Company, including in respect of compensation of the Agents and the Forward Sellers, shall remain in full force and effect notwithstanding such termination; and (B) the provisions of Sections 3, 4(l), 9, 13, 15 and 17 of this Agreement shall remain in full force and effect notwithstanding such termination.</w:t>
      </w:r>
    </w:p>
    <w:p>
      <w:pPr>
        <w:spacing w:after="0" w:line="192" w:lineRule="exact"/>
        <w:rPr>
          <w:sz w:val="20"/>
          <w:szCs w:val="20"/>
          <w:color w:val="auto"/>
        </w:rPr>
      </w:pPr>
    </w:p>
    <w:p>
      <w:pPr>
        <w:ind w:left="1304" w:hanging="656"/>
        <w:spacing w:after="0" w:line="261" w:lineRule="auto"/>
        <w:tabs>
          <w:tab w:leader="none" w:pos="114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sale by the Company pursuant to a Terms Agreement, the obligations of the Company pursuant to such Terms Agreement and this Agreement may not be terminated by the Company without the prior written consent of the Agents, the Forward Sellers and the Forward Purchasers.</w:t>
      </w:r>
    </w:p>
    <w:p>
      <w:pPr>
        <w:spacing w:after="0" w:line="181" w:lineRule="exact"/>
        <w:rPr>
          <w:rFonts w:ascii="Times New Roman" w:cs="Times New Roman" w:eastAsia="Times New Roman" w:hAnsi="Times New Roman"/>
          <w:sz w:val="20"/>
          <w:szCs w:val="20"/>
          <w:color w:val="auto"/>
        </w:rPr>
      </w:pPr>
    </w:p>
    <w:p>
      <w:pPr>
        <w:ind w:left="1224" w:hanging="1224"/>
        <w:spacing w:after="0" w:line="253" w:lineRule="auto"/>
        <w:tabs>
          <w:tab w:leader="none" w:pos="48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Agents, the Forward Sellers or the Forward Purchasers, as applicable, may terminate this Agreement in their sole discretion at any time upon giving prior written notice to the Company and any Agent, Forward Purchaser or Forward Seller may terminate this Agreement with respect to itself in its sole discretion at any time upon giving prior written notice to the Company. Any such termination shall be without liability of any party to any other party, except that the provisions of Sections 3, 4(l), 9, 13, 15 and 17 of this Agreement shall remain in full force and effect notwithstanding such termination.</w:t>
      </w:r>
    </w:p>
    <w:p>
      <w:pPr>
        <w:spacing w:after="0" w:line="178" w:lineRule="exact"/>
        <w:rPr>
          <w:rFonts w:ascii="Times New Roman" w:cs="Times New Roman" w:eastAsia="Times New Roman" w:hAnsi="Times New Roman"/>
          <w:sz w:val="20"/>
          <w:szCs w:val="20"/>
          <w:color w:val="auto"/>
        </w:rPr>
      </w:pPr>
    </w:p>
    <w:p>
      <w:pPr>
        <w:ind w:left="1224" w:hanging="576"/>
        <w:spacing w:after="0" w:line="264" w:lineRule="auto"/>
        <w:tabs>
          <w:tab w:leader="none" w:pos="1097"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purchase by an Agent pursuant to a Terms Agreement, the obligations of the Agent pursuant to such Terms Agreement shall be subject to termination by the Agent at any time prior to or at the Principal Settlement Date if since the time of execution of the Terms Agreement or the respective dates as of which information is given in the Registration Statement, the Prospectus and any Permitted Free Writing Prospectus, (i) trading generally shall have been suspended or materially limited on or by The Nasdaq Stock Market LLC; (ii) trading of any securities issued or guaranteed by the Company or any of its consolidated subsidiaries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solely in the case of events and conditions described in this clause, in the Agents’ judgment, is material and adverse and makes it impracticable or inadvisable to proceed with the offering, sale or delivery of the Shares on the terms and in the manner contemplated in the Prospectus or such Terms Agreement. If any Agent or the Agents elect to terminate its or their obligations pursuant to this Section 8(b)(ii), the Company shall be notified promptly in writing.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44"/>
          </w:cols>
          <w:pgMar w:left="976" w:top="1413" w:right="379" w:bottom="1440" w:gutter="0" w:footer="0" w:header="0"/>
        </w:sectPr>
      </w:pPr>
    </w:p>
    <w:bookmarkStart w:id="5" w:name="page6"/>
    <w:bookmarkEnd w:id="5"/>
    <w:p>
      <w:pPr>
        <w:ind w:left="1080" w:hanging="424"/>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right="280" w:firstLine="656"/>
        <w:spacing w:after="0" w:line="254" w:lineRule="auto"/>
        <w:tabs>
          <w:tab w:leader="none" w:pos="107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remain in full force and effect until the earliest of (A) termination of this Agreement pursuant to Section 8(a) or 8(b) above or otherwise by mutual written agreement of the parties and (B) such date that the Maximum Amount of Shares has been sold in accordance with the terms of this Agreement and any Terms Agreements, in each case except that the provisions of Section 3, 4(l), 9, 13, 15 and 17 of this Agreement shall remain in full force and effect notwithstanding such termination.</w:t>
      </w:r>
    </w:p>
    <w:p>
      <w:pPr>
        <w:spacing w:after="0" w:line="183" w:lineRule="exact"/>
        <w:rPr>
          <w:rFonts w:ascii="Times New Roman" w:cs="Times New Roman" w:eastAsia="Times New Roman" w:hAnsi="Times New Roman"/>
          <w:sz w:val="20"/>
          <w:szCs w:val="20"/>
          <w:color w:val="auto"/>
        </w:rPr>
      </w:pPr>
    </w:p>
    <w:p>
      <w:pPr>
        <w:ind w:right="100" w:firstLine="656"/>
        <w:spacing w:after="0" w:line="254" w:lineRule="auto"/>
        <w:tabs>
          <w:tab w:leader="none" w:pos="105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termination of this Agreement shall be effective on the date specified in such notice of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such termination shall not be effective until the close of business on the date of receipt of such notice by the Agents, the Forward Sellers and the Forward Purchasers or the Company, as the case may be, or such later date as may be required pursuant to Section 8(a) or 8(b). If such termination shall occur prior to the Settlement Date for any sale of Shares, such sale shall settle in accordance with the provisions of Section 2 hereof.”</w:t>
      </w:r>
    </w:p>
    <w:p>
      <w:pPr>
        <w:spacing w:after="0" w:line="191" w:lineRule="exact"/>
        <w:rPr>
          <w:sz w:val="20"/>
          <w:szCs w:val="20"/>
          <w:color w:val="auto"/>
        </w:rPr>
      </w:pPr>
    </w:p>
    <w:p>
      <w:pPr>
        <w:ind w:right="100" w:firstLine="656"/>
        <w:spacing w:after="0" w:line="258"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Amendment</w:t>
      </w:r>
      <w:r>
        <w:rPr>
          <w:rFonts w:ascii="Times New Roman" w:cs="Times New Roman" w:eastAsia="Times New Roman" w:hAnsi="Times New Roman"/>
          <w:sz w:val="20"/>
          <w:szCs w:val="20"/>
          <w:color w:val="auto"/>
        </w:rPr>
        <w:t>. Except as expressly amended hereby, the Distribution Agreement shall remain in full force and effect in accordance with its terms. In the event of any conflict or inconsistency between the terms of this Amendment and the terms of the Distribution Agreement, the terms of this Amendment shall control. Capitalized terms used herein and not otherwise defined have the meanings ascribed to them in the Distribution Agreement.</w:t>
      </w:r>
    </w:p>
    <w:p>
      <w:pPr>
        <w:spacing w:after="0" w:line="172" w:lineRule="exact"/>
        <w:rPr>
          <w:rFonts w:ascii="Times New Roman" w:cs="Times New Roman" w:eastAsia="Times New Roman" w:hAnsi="Times New Roman"/>
          <w:sz w:val="20"/>
          <w:szCs w:val="20"/>
          <w:color w:val="auto"/>
        </w:rPr>
      </w:pPr>
    </w:p>
    <w:p>
      <w:pPr>
        <w:jc w:val="both"/>
        <w:ind w:right="540" w:firstLine="656"/>
        <w:spacing w:after="0" w:line="268"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On and after the date hereof, each reference in the Distribution Agreement to “this Agreement,” “hereof,” “herein,” “hereunder” or words of like import referring to the Distribution Agreement shall mean and be a reference to the Distribution Agreement as amended by this Amendment.</w:t>
      </w:r>
    </w:p>
    <w:p>
      <w:pPr>
        <w:spacing w:after="0" w:line="161" w:lineRule="exact"/>
        <w:rPr>
          <w:rFonts w:ascii="Times New Roman" w:cs="Times New Roman" w:eastAsia="Times New Roman" w:hAnsi="Times New Roman"/>
          <w:sz w:val="20"/>
          <w:szCs w:val="20"/>
          <w:color w:val="auto"/>
        </w:rPr>
      </w:pPr>
    </w:p>
    <w:p>
      <w:pPr>
        <w:ind w:right="40" w:firstLine="656"/>
        <w:spacing w:after="0" w:line="261"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any claim, counterclaim or dispute of any kind or nature whatsoever arising out of or in any way relating to this Amendment, directly or indirectly, shall be governed by, and construed in accordance with, the laws of the State of New York.</w:t>
      </w:r>
    </w:p>
    <w:p>
      <w:pPr>
        <w:spacing w:after="0" w:line="181" w:lineRule="exact"/>
        <w:rPr>
          <w:rFonts w:ascii="Times New Roman" w:cs="Times New Roman" w:eastAsia="Times New Roman" w:hAnsi="Times New Roman"/>
          <w:sz w:val="20"/>
          <w:szCs w:val="20"/>
          <w:color w:val="auto"/>
        </w:rPr>
      </w:pPr>
    </w:p>
    <w:p>
      <w:pPr>
        <w:ind w:firstLine="656"/>
        <w:spacing w:after="0" w:line="270" w:lineRule="auto"/>
        <w:tabs>
          <w:tab w:leader="none" w:pos="1296"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This Amendment may be executed in two or more counterparts and delivered by facsimile or in electronic form, each of which shall be deemed an original, but all of which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 w:name="page7"/>
    <w:bookmarkEnd w:id="6"/>
    <w:p>
      <w:pPr>
        <w:ind w:firstLine="648"/>
        <w:spacing w:after="0" w:line="261" w:lineRule="auto"/>
        <w:rPr>
          <w:sz w:val="20"/>
          <w:szCs w:val="20"/>
          <w:color w:val="auto"/>
        </w:rPr>
      </w:pPr>
      <w:r>
        <w:rPr>
          <w:rFonts w:ascii="Times New Roman" w:cs="Times New Roman" w:eastAsia="Times New Roman" w:hAnsi="Times New Roman"/>
          <w:sz w:val="20"/>
          <w:szCs w:val="20"/>
          <w:color w:val="auto"/>
        </w:rPr>
        <w:t>If the foregoing correctly sets forth the understanding between the Company and the parties hereto, please so indicate in the space provided below for that purpose, whereupon this letter and the acceptance of each of the parties hereto shall constitute a binding agreement among the Company and the parties hereto.</w:t>
      </w:r>
    </w:p>
    <w:p>
      <w:pPr>
        <w:spacing w:after="0" w:line="1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HOST HOTELS &amp; RESORTS, INC.</w:t>
      </w:r>
    </w:p>
    <w:p>
      <w:pPr>
        <w:spacing w:after="0" w:line="200" w:lineRule="exact"/>
        <w:rPr>
          <w:sz w:val="20"/>
          <w:szCs w:val="20"/>
          <w:color w:val="auto"/>
        </w:rPr>
      </w:pPr>
    </w:p>
    <w:p>
      <w:pPr>
        <w:spacing w:after="0" w:line="38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Joseph C.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1339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0" w:lineRule="exact"/>
        <w:rPr>
          <w:sz w:val="20"/>
          <w:szCs w:val="20"/>
          <w:color w:val="auto"/>
        </w:rPr>
      </w:pPr>
    </w:p>
    <w:p>
      <w:pPr>
        <w:ind w:left="4540"/>
        <w:spacing w:after="0"/>
        <w:tabs>
          <w:tab w:leader="none" w:pos="5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Joseph C. Ottinger</w:t>
      </w:r>
    </w:p>
    <w:p>
      <w:pPr>
        <w:spacing w:after="0" w:line="40" w:lineRule="exact"/>
        <w:rPr>
          <w:sz w:val="20"/>
          <w:szCs w:val="20"/>
          <w:color w:val="auto"/>
        </w:rPr>
      </w:pPr>
    </w:p>
    <w:p>
      <w:pPr>
        <w:ind w:left="4540"/>
        <w:spacing w:after="0"/>
        <w:tabs>
          <w:tab w:leader="none" w:pos="51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No. 1 to Equity Distribution Agreement</w:t>
      </w:r>
      <w:r>
        <w:rPr>
          <w:rFonts w:ascii="Times New Roman" w:cs="Times New Roman" w:eastAsia="Times New Roman" w:hAnsi="Times New Roman"/>
          <w:sz w:val="20"/>
          <w:szCs w:val="20"/>
          <w:color w:val="auto"/>
        </w:rPr>
        <w:t>]</w:t>
      </w:r>
    </w:p>
    <w:p>
      <w:pPr>
        <w:sectPr>
          <w:pgSz w:w="11900" w:h="16838" w:orient="portrait"/>
          <w:cols w:equalWidth="0" w:num="1">
            <w:col w:w="11020"/>
          </w:cols>
          <w:pgMar w:left="320" w:top="1413"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Accepted and agreed to as of the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first above written:</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8"/>
              </w:rPr>
              <w:t>As Agents and Forward Sellers (As Applicable)</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8"/>
              </w:rPr>
              <w:t>As Forward Purchasers</w:t>
            </w:r>
          </w:p>
        </w:tc>
      </w:tr>
      <w:tr>
        <w:trPr>
          <w:trHeight w:val="566"/>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J.P. Morgan Securities LLC</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JPMorgan Chase Bank, National Association</w:t>
            </w:r>
          </w:p>
        </w:tc>
      </w:tr>
      <w:tr>
        <w:trPr>
          <w:trHeight w:val="413"/>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By: /s/ Sanjeet Dewal</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By: /s/ Sanjeet Dewal</w:t>
            </w:r>
          </w:p>
        </w:tc>
      </w:tr>
      <w:tr>
        <w:trPr>
          <w:trHeight w:val="20"/>
        </w:trPr>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7"/>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Name: Sanjeet Dewal</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Name: Sanjeet Dewal</w:t>
            </w:r>
          </w:p>
        </w:tc>
      </w:tr>
      <w:tr>
        <w:trPr>
          <w:trHeight w:val="297"/>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378"/>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BofA Securities, Inc.</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413"/>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By: /s/ Jeffrey Horowitz</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By: /s/ Jake Mendelsohn</w:t>
            </w:r>
          </w:p>
        </w:tc>
      </w:tr>
      <w:tr>
        <w:trPr>
          <w:trHeight w:val="20"/>
        </w:trPr>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7"/>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Name: Jeffrey Horowitz</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Name: Jake Mendelsohn</w:t>
            </w:r>
          </w:p>
        </w:tc>
      </w:tr>
      <w:tr>
        <w:trPr>
          <w:trHeight w:val="270"/>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648"/>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Goldman Sachs &amp; Co. LLC</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Goldman Sachs &amp; Co. LLC</w:t>
            </w:r>
          </w:p>
        </w:tc>
      </w:tr>
      <w:tr>
        <w:trPr>
          <w:trHeight w:val="413"/>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By: /s/ Jonathan Armstrong</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By: /s/ Jonathan Armstrong</w:t>
            </w:r>
          </w:p>
        </w:tc>
      </w:tr>
      <w:tr>
        <w:trPr>
          <w:trHeight w:val="20"/>
        </w:trPr>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6"/>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Name: Jonathan Armstrong</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Name: Jonathan Armstrong</w:t>
            </w:r>
          </w:p>
        </w:tc>
      </w:tr>
      <w:tr>
        <w:trPr>
          <w:trHeight w:val="270"/>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378"/>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Jefferies LLC</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Jefferies LLC</w:t>
            </w:r>
          </w:p>
        </w:tc>
      </w:tr>
      <w:tr>
        <w:trPr>
          <w:trHeight w:val="413"/>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By: /s/ Michael Bluhm</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By: /s/ Michael Bluhm</w:t>
            </w:r>
          </w:p>
        </w:tc>
      </w:tr>
      <w:tr>
        <w:trPr>
          <w:trHeight w:val="20"/>
        </w:trPr>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97"/>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Name: Michael Bluhm</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Name: Michael Bluhm</w:t>
            </w:r>
          </w:p>
        </w:tc>
      </w:tr>
      <w:tr>
        <w:trPr>
          <w:trHeight w:val="270"/>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648"/>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Morgan Stanley &amp; Co. LLC</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Morgan Stanley &amp; Co. LLC</w:t>
            </w:r>
          </w:p>
        </w:tc>
      </w:tr>
      <w:tr>
        <w:trPr>
          <w:trHeight w:val="413"/>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By: /s/ Daniel Croitoru_____________</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By: /s/ Ellen Weinstein______________</w:t>
            </w:r>
          </w:p>
        </w:tc>
      </w:tr>
      <w:tr>
        <w:trPr>
          <w:trHeight w:val="20"/>
        </w:trPr>
        <w:tc>
          <w:tcPr>
            <w:tcW w:w="3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r>
      <w:tr>
        <w:trPr>
          <w:trHeight w:val="296"/>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Name: Daniel Croitoru</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Name: Ellen Weinstein</w:t>
            </w:r>
          </w:p>
        </w:tc>
      </w:tr>
      <w:tr>
        <w:trPr>
          <w:trHeight w:val="270"/>
        </w:trPr>
        <w:tc>
          <w:tcPr>
            <w:tcW w:w="5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Title: Vice President</w:t>
            </w:r>
          </w:p>
        </w:tc>
        <w:tc>
          <w:tcPr>
            <w:tcW w:w="41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No. 1 to Equity Distribution Agreement</w:t>
      </w: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13" w:right="1440" w:bottom="1440" w:gutter="0" w:footer="0" w:header="0"/>
        </w:sectPr>
      </w:pPr>
    </w:p>
    <w:bookmarkStart w:id="8" w:name="page9"/>
    <w:bookmarkEnd w:id="8"/>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Scotia Capital (USA) Inc.</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The Bank of Nova Scotia</w:t>
            </w:r>
          </w:p>
        </w:tc>
      </w:tr>
      <w:tr>
        <w:trPr>
          <w:trHeight w:val="413"/>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Tim Mann</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By: /s/ Tim Mann</w:t>
            </w:r>
          </w:p>
        </w:tc>
      </w:tr>
      <w:tr>
        <w:trPr>
          <w:trHeight w:val="20"/>
        </w:trPr>
        <w:tc>
          <w:tcPr>
            <w:tcW w:w="3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7"/>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Tim Mann</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Name: Tim Mann</w:t>
            </w:r>
          </w:p>
        </w:tc>
      </w:tr>
      <w:tr>
        <w:trPr>
          <w:trHeight w:val="270"/>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648"/>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Truist Securities, Inc.</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Truist Bank</w:t>
            </w:r>
          </w:p>
        </w:tc>
      </w:tr>
      <w:tr>
        <w:trPr>
          <w:trHeight w:val="413"/>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Keith Carpenter</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By: /s/ Rakesh Mangat</w:t>
            </w:r>
          </w:p>
        </w:tc>
      </w:tr>
      <w:tr>
        <w:trPr>
          <w:trHeight w:val="20"/>
        </w:trPr>
        <w:tc>
          <w:tcPr>
            <w:tcW w:w="34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r>
      <w:tr>
        <w:trPr>
          <w:trHeight w:val="297"/>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Keith Carpenter</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Name: Rakesh Mangat</w:t>
            </w:r>
          </w:p>
        </w:tc>
      </w:tr>
      <w:tr>
        <w:trPr>
          <w:trHeight w:val="270"/>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648"/>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Wells Fargo Securities, LLC</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w w:val="97"/>
              </w:rPr>
              <w:t>Wells Fargo Bank, National Association</w:t>
            </w:r>
          </w:p>
        </w:tc>
      </w:tr>
      <w:tr>
        <w:trPr>
          <w:trHeight w:val="413"/>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Rohit Mehta</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By: /s/ Christine Roemer</w:t>
            </w:r>
          </w:p>
        </w:tc>
      </w:tr>
      <w:tr>
        <w:trPr>
          <w:trHeight w:val="20"/>
        </w:trPr>
        <w:tc>
          <w:tcPr>
            <w:tcW w:w="34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7"/>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Rohit Mehta</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Name: Christine Roemer</w:t>
            </w:r>
          </w:p>
        </w:tc>
      </w:tr>
      <w:tr>
        <w:trPr>
          <w:trHeight w:val="270"/>
        </w:trPr>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6380" w:type="dxa"/>
            <w:vAlign w:val="bottom"/>
            <w:gridSpan w:val="4"/>
          </w:tcPr>
          <w:p>
            <w:pPr>
              <w:ind w:left="320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No. 1 to Equity Distribution Agreement</w:t>
      </w:r>
      <w:r>
        <w:rPr>
          <w:rFonts w:ascii="Times New Roman" w:cs="Times New Roman" w:eastAsia="Times New Roman" w:hAnsi="Times New Roman"/>
          <w:sz w:val="20"/>
          <w:szCs w:val="20"/>
          <w:color w:val="auto"/>
        </w:rPr>
        <w:t>]</w:t>
      </w:r>
    </w:p>
    <w:sectPr>
      <w:pgSz w:w="11900" w:h="16838" w:orient="portrait"/>
      <w:cols w:equalWidth="0" w:num="1">
        <w:col w:w="10059"/>
      </w:cols>
      <w:pgMar w:left="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amp;"/>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lowerLetter"/>
      <w:start w:val="1"/>
    </w:lvl>
    <w:lvl w:ilvl="1">
      <w:lvlJc w:val="left"/>
      <w:lvlText w:val="%2."/>
      <w:numFmt w:val="lowerLetter"/>
      <w:start w:val="3"/>
    </w:lvl>
  </w:abstractNum>
  <w:abstractNum w:abstractNumId="4">
    <w:nsid w:val="41B71EFB"/>
    <w:multiLevelType w:val="hybridMultilevel"/>
    <w:lvl w:ilvl="0">
      <w:lvlJc w:val="left"/>
      <w:lvlText w:val="(%1)"/>
      <w:numFmt w:val="lowerLetter"/>
      <w:start w:val="1"/>
    </w:lvl>
    <w:lvl w:ilvl="1">
      <w:lvlJc w:val="left"/>
      <w:lvlText w:val="%2"/>
      <w:numFmt w:val="lowerLetter"/>
      <w:start w:val="1"/>
    </w:lvl>
  </w:abstractNum>
  <w:abstractNum w:abstractNumId="5">
    <w:nsid w:val="79E2A9E3"/>
    <w:multiLevelType w:val="hybridMultilevel"/>
    <w:lvl w:ilvl="0">
      <w:lvlJc w:val="left"/>
      <w:lvlText w:val="%1"/>
      <w:numFmt w:val="lowerLetter"/>
      <w:start w:val="1"/>
    </w:lvl>
    <w:lvl w:ilvl="1">
      <w:lvlJc w:val="left"/>
      <w:lvlText w:val="(%2)"/>
      <w:numFmt w:val="lowerLetter"/>
      <w:start w:val="35"/>
    </w:lvl>
  </w:abstractNum>
  <w:abstractNum w:abstractNumId="6">
    <w:nsid w:val="7545E146"/>
    <w:multiLevelType w:val="hybridMultilevel"/>
    <w:lvl w:ilvl="0">
      <w:lvlJc w:val="left"/>
      <w:lvlText w:val="(%1)"/>
      <w:numFmt w:val="lowerLetter"/>
      <w:start w:val="2"/>
    </w:lvl>
    <w:lvl w:ilvl="1">
      <w:lvlJc w:val="left"/>
      <w:lvlText w:val="(%2)"/>
      <w:numFmt w:val="lowerLetter"/>
      <w:start w:val="35"/>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2026-05-28T16:37:20Z</dcterms:created>
  <dcterms:modified xsi:type="dcterms:W3CDTF">2026-05-28T16:37:20Z</dcterms:modified>
</cp:coreProperties>
</file>