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333-278572</w:t>
      </w:r>
    </w:p>
    <w:p>
      <w:pPr>
        <w:spacing w:after="0" w:line="9" w:lineRule="exact"/>
        <w:rPr>
          <w:sz w:val="24"/>
          <w:szCs w:val="24"/>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Subject to Completion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Preliminary Prospectus Supplement dated May 6, 2025</w:t>
      </w:r>
    </w:p>
    <w:p>
      <w:pPr>
        <w:spacing w:after="0" w:line="41"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u w:val="single" w:color="auto"/>
          <w:color w:val="auto"/>
        </w:rPr>
        <w:t>P R O S P E C T U S</w:t>
      </w:r>
      <w:r>
        <w:rPr>
          <w:sz w:val="20"/>
          <w:szCs w:val="20"/>
          <w:color w:val="auto"/>
        </w:rPr>
        <w:tab/>
      </w:r>
      <w:r>
        <w:rPr>
          <w:rFonts w:ascii="Times New Roman" w:cs="Times New Roman" w:eastAsia="Times New Roman" w:hAnsi="Times New Roman"/>
          <w:sz w:val="17"/>
          <w:szCs w:val="17"/>
          <w:b w:val="1"/>
          <w:bCs w:val="1"/>
          <w:u w:val="single" w:color="auto"/>
          <w:color w:val="auto"/>
        </w:rPr>
        <w:t>S U P P L E M E N 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17, 2024)</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15240</wp:posOffset>
            </wp:positionV>
            <wp:extent cx="108013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Host Hotels &amp; Resorts, L.P.</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Series M Senior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offering $ million aggregate principal amount of % Series M senior notes due . We will pay interest on the Series M senior notes semi-annually in arrears on and of each year, commencing , 2025. The Series M senior notes will mature on , . We have the option to redeem the Series M senior notes in whole or in part at the applicable redemption price described under the caption “Description of Series M Senior Notes—Optional Redemption” in this prospectus supplement.</w:t>
      </w:r>
    </w:p>
    <w:p>
      <w:pPr>
        <w:spacing w:after="0" w:line="18"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Series M senior notes will be our senior unsecured obligations and will rank equally in right of payment with all of our existing and future senior unsecured indebtedness. The Series M senior notes and the Existing Senior Notes (as defined herein) will be effectively subordinated to all of our existing and future secured indebtedness, to the extent of the value of the collateral securing such indebtedness, and to the indebtedness of our subsidiaries. See “Description of Series M Senior Notes—Ranking” in this prospectus supplement.</w:t>
      </w:r>
    </w:p>
    <w:p>
      <w:pPr>
        <w:spacing w:after="0" w:line="18"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 trading market. We do not intend to apply for listing of the Series M senior notes on any securities exchange or for inclusion of the Series M senior notes in any automated quotation system.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Series M senior notes involves risks.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S-9</w:t>
      </w:r>
      <w:r>
        <w:rPr>
          <w:rFonts w:ascii="Times New Roman" w:cs="Times New Roman" w:eastAsia="Times New Roman" w:hAnsi="Times New Roman"/>
          <w:sz w:val="18"/>
          <w:szCs w:val="18"/>
          <w:b w:val="1"/>
          <w:bCs w:val="1"/>
          <w:color w:val="auto"/>
        </w:rPr>
        <w:t xml:space="preserve">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0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100" w:type="dxa"/>
            <w:vAlign w:val="bottom"/>
            <w:vMerge w:val="restart"/>
          </w:tcPr>
          <w:p>
            <w:pPr>
              <w:ind w:left="20"/>
              <w:spacing w:after="0" w:line="262"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6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6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6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w:t>
            </w:r>
          </w:p>
        </w:tc>
        <w:tc>
          <w:tcPr>
            <w:tcW w:w="6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06"/>
        </w:trPr>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6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6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(1)  Plus accrued interest from</w:t>
            </w:r>
          </w:p>
        </w:tc>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2025, if settlement occurs after that date.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Series M senior notes will be ready for delivery in book-entry form only through the facilities of The Depository Trust Company for the accounts of its</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participants, including Euroclear Bank S.A./N.V., as operator of the Euroclear System,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on or about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2025, which is the</w:t>
            </w:r>
          </w:p>
        </w:tc>
        <w:tc>
          <w:tcPr>
            <w:tcW w:w="53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business day following the date of this prospectus supplement.</w:t>
            </w:r>
          </w:p>
        </w:tc>
        <w:tc>
          <w:tcPr>
            <w:tcW w:w="34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1"/>
        </w:trPr>
        <w:tc>
          <w:tcPr>
            <w:tcW w:w="1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385"/>
        </w:trPr>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20" w:type="dxa"/>
            <w:vAlign w:val="bottom"/>
            <w:gridSpan w:val="3"/>
          </w:tcPr>
          <w:p>
            <w:pPr>
              <w:jc w:val="center"/>
              <w:ind w:left="939"/>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34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5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36"/>
                <w:szCs w:val="36"/>
                <w:b w:val="1"/>
                <w:bCs w:val="1"/>
                <w:color w:val="auto"/>
              </w:rPr>
              <w:t>Morgan Stanley</w:t>
            </w:r>
          </w:p>
        </w:tc>
        <w:tc>
          <w:tcPr>
            <w:tcW w:w="4120" w:type="dxa"/>
            <w:vAlign w:val="bottom"/>
            <w:gridSpan w:val="3"/>
          </w:tcPr>
          <w:p>
            <w:pPr>
              <w:jc w:val="center"/>
              <w:ind w:left="919"/>
              <w:spacing w:after="0"/>
              <w:rPr>
                <w:sz w:val="20"/>
                <w:szCs w:val="20"/>
                <w:color w:val="auto"/>
              </w:rPr>
            </w:pPr>
            <w:r>
              <w:rPr>
                <w:rFonts w:ascii="Times New Roman" w:cs="Times New Roman" w:eastAsia="Times New Roman" w:hAnsi="Times New Roman"/>
                <w:sz w:val="36"/>
                <w:szCs w:val="36"/>
                <w:b w:val="1"/>
                <w:bCs w:val="1"/>
                <w:color w:val="auto"/>
              </w:rPr>
              <w:t>BofA Securities</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36"/>
                <w:szCs w:val="36"/>
                <w:b w:val="1"/>
                <w:bCs w:val="1"/>
                <w:color w:val="auto"/>
              </w:rPr>
              <w:t>J.P. Morgan</w:t>
            </w:r>
          </w:p>
        </w:tc>
      </w:tr>
      <w:tr>
        <w:trPr>
          <w:trHeight w:val="50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rPr>
              <w:t>Wells Fargo Securities</w:t>
            </w:r>
          </w:p>
        </w:tc>
        <w:tc>
          <w:tcPr>
            <w:tcW w:w="4120" w:type="dxa"/>
            <w:vAlign w:val="bottom"/>
            <w:gridSpan w:val="3"/>
          </w:tcPr>
          <w:p>
            <w:pPr>
              <w:jc w:val="center"/>
              <w:ind w:left="939"/>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25"/>
                <w:szCs w:val="25"/>
                <w:b w:val="1"/>
                <w:bCs w:val="1"/>
                <w:color w:val="auto"/>
              </w:rPr>
              <w:t>Truist Securities</w:t>
            </w:r>
          </w:p>
        </w:tc>
      </w:tr>
      <w:tr>
        <w:trPr>
          <w:trHeight w:val="383"/>
        </w:trPr>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 date of this prospectus supplement is</w:t>
            </w:r>
          </w:p>
        </w:tc>
        <w:tc>
          <w:tcPr>
            <w:tcW w:w="3480" w:type="dxa"/>
            <w:vAlign w:val="bottom"/>
          </w:tcPr>
          <w:p>
            <w:pPr>
              <w:jc w:val="right"/>
              <w:ind w:right="2828"/>
              <w:spacing w:after="0"/>
              <w:rPr>
                <w:sz w:val="20"/>
                <w:szCs w:val="20"/>
                <w:color w:val="auto"/>
              </w:rPr>
            </w:pPr>
            <w:r>
              <w:rPr>
                <w:rFonts w:ascii="Times New Roman" w:cs="Times New Roman" w:eastAsia="Times New Roman" w:hAnsi="Times New Roman"/>
                <w:sz w:val="18"/>
                <w:szCs w:val="18"/>
                <w:color w:val="auto"/>
              </w:rPr>
              <w:t>, 2025</w:t>
            </w:r>
          </w:p>
        </w:tc>
        <w:tc>
          <w:tcPr>
            <w:tcW w:w="580" w:type="dxa"/>
            <w:vAlign w:val="bottom"/>
          </w:tcPr>
          <w:p>
            <w:pPr>
              <w:spacing w:after="0"/>
              <w:rPr>
                <w:sz w:val="24"/>
                <w:szCs w:val="24"/>
                <w:color w:val="auto"/>
              </w:rPr>
            </w:pPr>
          </w:p>
        </w:tc>
      </w:tr>
    </w:tbl>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gridSpan w:val="3"/>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3"/>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9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500" w:type="dxa"/>
            <w:vAlign w:val="bottom"/>
            <w:gridSpan w:val="3"/>
          </w:tcPr>
          <w:p>
            <w:pPr>
              <w:spacing w:after="0"/>
              <w:rPr>
                <w:sz w:val="22"/>
                <w:szCs w:val="22"/>
                <w:color w:val="auto"/>
              </w:rPr>
            </w:pPr>
          </w:p>
        </w:tc>
        <w:tc>
          <w:tcPr>
            <w:tcW w:w="6920" w:type="dxa"/>
            <w:vAlign w:val="bottom"/>
            <w:gridSpan w:val="5"/>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706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40" w:type="dxa"/>
            <w:vAlign w:val="bottom"/>
            <w:gridSpan w:val="11"/>
          </w:tcPr>
          <w:p>
            <w:pPr>
              <w:spacing w:after="0"/>
              <w:rPr>
                <w:sz w:val="22"/>
                <w:szCs w:val="22"/>
                <w:color w:val="auto"/>
              </w:rPr>
            </w:pPr>
          </w:p>
        </w:tc>
        <w:tc>
          <w:tcPr>
            <w:tcW w:w="706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S-13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22"/>
                <w:szCs w:val="22"/>
                <w:color w:val="auto"/>
              </w:rPr>
            </w:pPr>
          </w:p>
        </w:tc>
        <w:tc>
          <w:tcPr>
            <w:tcW w:w="8780" w:type="dxa"/>
            <w:vAlign w:val="bottom"/>
            <w:gridSpan w:val="1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DESCRIPTION OF OTHER INDEBTEDNESS</w:t>
            </w:r>
          </w:p>
        </w:tc>
        <w:tc>
          <w:tcPr>
            <w:tcW w:w="6880" w:type="dxa"/>
            <w:vAlign w:val="bottom"/>
            <w:gridSpan w:val="4"/>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DESCRIPTION OF SERIES M SENIOR NOTES</w:t>
            </w:r>
          </w:p>
        </w:tc>
        <w:tc>
          <w:tcPr>
            <w:tcW w:w="6740" w:type="dxa"/>
            <w:vAlign w:val="bottom"/>
            <w:gridSpan w:val="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CERTAIN UNITED STATES FEDERAL INCOME TAX CONSEQUENCES</w:t>
            </w:r>
          </w:p>
        </w:tc>
        <w:tc>
          <w:tcPr>
            <w:tcW w:w="474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4220" w:type="dxa"/>
            <w:vAlign w:val="bottom"/>
            <w:gridSpan w:val="13"/>
          </w:tcPr>
          <w:p>
            <w:pPr>
              <w:spacing w:after="0"/>
              <w:rPr>
                <w:sz w:val="22"/>
                <w:szCs w:val="22"/>
                <w:color w:val="auto"/>
              </w:rPr>
            </w:pPr>
          </w:p>
        </w:tc>
        <w:tc>
          <w:tcPr>
            <w:tcW w:w="474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S-43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22"/>
                <w:szCs w:val="22"/>
                <w:color w:val="auto"/>
              </w:rPr>
            </w:pPr>
          </w:p>
        </w:tc>
        <w:tc>
          <w:tcPr>
            <w:tcW w:w="8900" w:type="dxa"/>
            <w:vAlign w:val="bottom"/>
            <w:gridSpan w:val="14"/>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S-43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S-43</w:t>
            </w:r>
          </w:p>
        </w:tc>
        <w:tc>
          <w:tcPr>
            <w:tcW w:w="0" w:type="dxa"/>
            <w:vAlign w:val="bottom"/>
          </w:tcPr>
          <w:p>
            <w:pPr>
              <w:spacing w:after="0"/>
              <w:rPr>
                <w:sz w:val="1"/>
                <w:szCs w:val="1"/>
                <w:color w:val="auto"/>
              </w:rPr>
            </w:pPr>
          </w:p>
        </w:tc>
      </w:tr>
      <w:tr>
        <w:trPr>
          <w:trHeight w:val="493"/>
        </w:trPr>
        <w:tc>
          <w:tcPr>
            <w:tcW w:w="7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3"/>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0"/>
            <w:vMerge w:val="restart"/>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40" w:type="dxa"/>
            <w:vAlign w:val="bottom"/>
            <w:tcBorders>
              <w:bottom w:val="single" w:sz="8" w:color="0000FF"/>
            </w:tcBorders>
            <w:gridSpan w:val="9"/>
            <w:vMerge w:val="continue"/>
          </w:tcPr>
          <w:p>
            <w:pPr>
              <w:spacing w:after="0"/>
              <w:rPr>
                <w:sz w:val="15"/>
                <w:szCs w:val="15"/>
                <w:color w:val="auto"/>
              </w:rPr>
            </w:pPr>
          </w:p>
        </w:tc>
        <w:tc>
          <w:tcPr>
            <w:tcW w:w="8120" w:type="dxa"/>
            <w:vAlign w:val="bottom"/>
            <w:gridSpan w:val="10"/>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9"/>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0"/>
        </w:trPr>
        <w:tc>
          <w:tcPr>
            <w:tcW w:w="1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18"/>
                <w:szCs w:val="18"/>
                <w:color w:val="auto"/>
              </w:rPr>
            </w:pPr>
          </w:p>
        </w:tc>
        <w:tc>
          <w:tcPr>
            <w:tcW w:w="9080" w:type="dxa"/>
            <w:vAlign w:val="bottom"/>
            <w:gridSpan w:val="1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1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9"/>
        </w:trPr>
        <w:tc>
          <w:tcPr>
            <w:tcW w:w="3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7340" w:type="dxa"/>
            <w:vAlign w:val="bottom"/>
            <w:gridSpan w:val="7"/>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300" w:type="dxa"/>
            <w:vAlign w:val="bottom"/>
            <w:gridSpan w:val="11"/>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900" w:type="dxa"/>
            <w:vAlign w:val="bottom"/>
            <w:gridSpan w:val="14"/>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and any applicable free writing prospectus. We have not, and the underwriters have not, authorized any other person to provide you with additional or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applicable free writing prospectus and the documents incorporated by reference is accurate only as of their respective dates. Our business, financial condition, results of operations and prospects may have changed since those dates.</w:t>
      </w:r>
    </w:p>
    <w:p>
      <w:pPr>
        <w:spacing w:after="0" w:line="13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 registered trademarks, service marks and brand names that are the exclusive property of their respective owners, which are companies other than us, including 1 Hotels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Alila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Andaz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Fairmont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Four Seasons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Grand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JW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Ritz-Carlton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St. Regis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Don Cesar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Luxury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Autograph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Curio – A Collection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Embassy Suites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Hyatt Regency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 Marquis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Sheraton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Swissôtel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Tribute Portfolio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Westin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None of the owners of these trademarks, service marks or brand names, their affiliates or any of their respective officers, directors, agents or employees, is an issuer or underwriter of the debt securities being offered hereby. In addition, none of such persons has or will have any responsibility or liability for any information contained in this prospectus supplement, the accompanying prospectus or the documents incorporated by reference herein and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Series M senior notes. These documents contain important information you should consider before making your investment decision. This prospectus supplement describes the terms of the offer and sale of the Series M senior notes. The accompanying prospectus contains information about our debt securities generally.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this prospectus supplement otherwise indicates or the context otherwise requires, references to “Host Inc.” mean Host Hotels &amp; Resorts, Inc. and references to “Host L.P.” mean Host Hotels &amp; Resorts, L.P. in cases where it is important to distinguish between Host Inc. and Host L.P. We use the terms “we,” “our” or “the company” to refer to Host Inc. and Host L.P. together, along with Host L.P.’s consolidated subsidiaries, unless the context indicates otherwise. Host Inc. and Host L.P. file combined periodic reports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certain of which are incorporated by reference herein. When we refer to “you,” we mean the potential holders of the Series M senior notes. References to “Existing Senior Notes” herein include our Series E, Series F, Series H, Series I, Series J, Series K and Series L senior notes currently outstanding. The Series M senior notes offered hereby will be issued pursuant to an indenture dated as of May 15, 2015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References to “senior notes” herein include the Existing Senior Notes, the Series M senior notes offered hereby and any future senior notes that we may issue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60"/>
          </w:cols>
          <w:pgMar w:left="320" w:top="1440" w:right="419" w:bottom="1440" w:gutter="0" w:footer="0" w:header="0"/>
        </w:sectPr>
      </w:pPr>
    </w:p>
    <w:bookmarkStart w:id="4" w:name="page5"/>
    <w:bookmarkEnd w:id="4"/>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Information included and incorporated by reference in this prospectus supplement and the accompanying prospectus contains forward-looking statements that relate to our future performance and plans, results of operations, capital expenditures, acquisitions, dispositions and operating costs. These forward-looking statements are identified by their use of terms and phrases such as “anticipate,” “believe,” “could,” “expect,” “may,” “intend,” “predict,” “project,” “plan,” “will,” “estimate” and other similar terms and phrases, including references to assumptions and forecasts of future results. Forward-looking statements are based on management’s current expectations and assumptions and are not guarantees of future performance. Forward-looking statements involve known and unknown risks, uncertainties and other factors which may cause our actual results to differ materially from those anticipated at the time the forward-looking statements are made.</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future events to differ materially from those set forth or contemplated in the forward-looking statements:</w:t>
      </w:r>
    </w:p>
    <w:p>
      <w:pPr>
        <w:spacing w:after="0" w:line="108" w:lineRule="exact"/>
        <w:rPr>
          <w:sz w:val="20"/>
          <w:szCs w:val="20"/>
          <w:color w:val="auto"/>
        </w:rPr>
      </w:pPr>
    </w:p>
    <w:p>
      <w:pPr>
        <w:ind w:left="660" w:right="20" w:hanging="328"/>
        <w:spacing w:after="0" w:line="25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lodging demand of (i) changes in national and local economic and business conditions, including concerns about U.S. economic growth and the potential for an economic recession in the United States or globally, including as a result of recent economic uncertainty due to trade disputes, tariffs and other trade protection measures, the recent high level of inflation, elevated interest rates, global economic prospects, consumer confidence and the value of the U.S. dollar, and (ii) factors that may shape public perception of travel to a particular location, including natural disasters, such as the Maui wildfires in 2023, and the Southern California wildfires in 2025, adverse weather events, such as Hurricane Ian in 2022 and Hurricanes Helene and Milton in 2024, or extreme precipitation, pandemics and other public health crises, such as the COVID-19 pandemic, and the occurrence or potential occurrence of terrorist attacks, all of which will affect occupancy rates at our hotels and the demand for hotel products and services;</w:t>
      </w:r>
    </w:p>
    <w:p>
      <w:pPr>
        <w:spacing w:after="0" w:line="137"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U.S. immigration policies and border closings, visa processing times, travel restrictions or advisories, changes in energy prices or changes in foreign exchange rates will suppress international travel to the United States generally or decrease the labor pool, and risks that international U.S. outbound travel may remain elevated relative to historic levels;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developments outside the United States, such as large-scale wars or international conflicts, slowing global growth, or trade disputes, tariffs or other trade protection measures between the United States and its trading partners, all of which could cause economic volatility and affect global travel and lodging demand within the United States or result in supply chain disruptions;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global financial and credit markets, which could materially adversely affect U.S. and global economic conditions, business activity and lodging demand as well as negatively impact our ability to obtain financing and increase our borrowing costs;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governmental action to address budget deficits through reductions in spending and similar austerity measures, as well as the impact of potential U.S. government shutdowns, all of which could materially adversely affect U.S. economic conditions, business activity, credit availability and borrowing costs;</w:t>
      </w:r>
    </w:p>
    <w:p>
      <w:pPr>
        <w:spacing w:after="0" w:line="12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associated with the hotel business, including the effect of labor stoppages or strikes, increasing operating or labor costs, including increased labor costs in the recent inflationary environment, the ability of our managers to adequately staff our hotels as a result of shortages in labor, changes in immigration laws or their enforcement, and severance and furlough payments to hotel employees or changes in workplace rules that affect labor costs;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rating agency downgrades of our debt securities on the cost and availability of new debt financings;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our operating flexibility and the limitation on our ability to incur debt, pay dividends and make distributions resulting from restrictive covenants in our debt agreements and other risks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80"/>
          </w:cols>
          <w:pgMar w:left="320" w:top="1440" w:right="399" w:bottom="1440" w:gutter="0" w:footer="0" w:header="0"/>
        </w:sectPr>
      </w:pPr>
    </w:p>
    <w:bookmarkStart w:id="5" w:name="page6"/>
    <w:bookmarkEnd w:id="5"/>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with the amount of our indebtedness or related to restrictive covenants in our debt agreements, including the risk that a default could occur;</w:t>
      </w:r>
    </w:p>
    <w:p>
      <w:pPr>
        <w:spacing w:after="0" w:line="171" w:lineRule="exact"/>
        <w:rPr>
          <w:sz w:val="20"/>
          <w:szCs w:val="20"/>
          <w:color w:val="auto"/>
        </w:rPr>
      </w:pPr>
    </w:p>
    <w:p>
      <w:pPr>
        <w:ind w:left="328" w:right="54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hotels in a first-class manner, including meeting capital expenditures requirements, and the effect of renovations, including temporary closures, on our hotel occupancy and financial results;</w:t>
      </w:r>
    </w:p>
    <w:p>
      <w:pPr>
        <w:spacing w:after="0" w:line="107"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hotels to compete effectively against other lodging businesses in the highly competitive markets in which we operate in areas such as access, location, quality of accommodations and room rate structures;</w:t>
      </w:r>
    </w:p>
    <w:p>
      <w:pPr>
        <w:spacing w:after="0" w:line="10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develop additional hotels and the risk that potential acquisitions or developments may not perform in accordance with our expectations;</w:t>
      </w:r>
    </w:p>
    <w:p>
      <w:pPr>
        <w:spacing w:after="0" w:line="107"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complete hotel renovations on schedule and on, or under, budget and the potential for increased costs and construction delays due to shortages of supplies as a result of supply chain disruptions;</w:t>
      </w:r>
    </w:p>
    <w:p>
      <w:pPr>
        <w:spacing w:after="0" w:line="107"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property managers and joint venture partners and our ability to realize the expected benefits of our joint ventures and other strategic relationships;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single manager, Marriott International, managing a significant percentage of our hotels;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desirability of the geographic regions of the hotels in our portfolio or in the travel patterns of hotel customers;</w:t>
      </w:r>
    </w:p>
    <w:p>
      <w:pPr>
        <w:spacing w:after="0" w:line="171"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frequency of business travel that may result from hybrid or remote work environments and other changes to business operations such as alternatives to in-person meetings, including virtual meetings hosted online or over private teleconferencing networks;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competition from third-party internet travel intermediaries in attracting and retaining customers which compete with our hotels;</w:t>
      </w:r>
    </w:p>
    <w:p>
      <w:pPr>
        <w:spacing w:after="0" w:line="171"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fully under our existing insurance policies for terrorist acts and natural disasters and our ability to maintain adequate or full replacement cost “all-risk” property insurance policies on our hotels on commercially reasonable terms;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data breach or significant disruption of hotel operator information technology networks as a result of cyber-attacks;</w:t>
      </w:r>
    </w:p>
    <w:p>
      <w:pPr>
        <w:spacing w:after="0" w:line="171"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tax legislative action and other changes in laws and regulations, or the interpretation thereof, including the need for compliance with new environmental and safety requirements;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taxes and government regulations that influence or set wages, hotel employee health care costs, prices, interest rates or construction and maintenance procedures and costs;</w:t>
      </w:r>
    </w:p>
    <w:p>
      <w:pPr>
        <w:spacing w:after="0" w:line="105" w:lineRule="exact"/>
        <w:rPr>
          <w:rFonts w:ascii="Times New Roman" w:cs="Times New Roman" w:eastAsia="Times New Roman" w:hAnsi="Times New Roman"/>
          <w:sz w:val="18"/>
          <w:szCs w:val="18"/>
          <w:color w:val="auto"/>
        </w:rPr>
      </w:pPr>
    </w:p>
    <w:p>
      <w:pPr>
        <w:ind w:left="328" w:right="80" w:hanging="328"/>
        <w:spacing w:after="0" w:line="290" w:lineRule="auto"/>
        <w:tabs>
          <w:tab w:leader="none" w:pos="32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Host Inc. and each of the real estate investment trusts (“</w:t>
      </w:r>
      <w:r>
        <w:rPr>
          <w:rFonts w:ascii="Times New Roman" w:cs="Times New Roman" w:eastAsia="Times New Roman" w:hAnsi="Times New Roman"/>
          <w:sz w:val="17"/>
          <w:szCs w:val="17"/>
          <w:i w:val="1"/>
          <w:iCs w:val="1"/>
          <w:color w:val="auto"/>
        </w:rPr>
        <w:t>REITs</w:t>
      </w:r>
      <w:r>
        <w:rPr>
          <w:rFonts w:ascii="Times New Roman" w:cs="Times New Roman" w:eastAsia="Times New Roman" w:hAnsi="Times New Roman"/>
          <w:sz w:val="17"/>
          <w:szCs w:val="17"/>
          <w:color w:val="auto"/>
        </w:rPr>
        <w:t>”) acquired, established or to be established by Host Inc. to continue to satisfy complex rules in order to qualify as REITs for U.S. federal income tax purposes and Host Inc.’s and Host L.P.’s ability and the ability of our subsidiaries, and similar entities to be acquired or established by us, to operate effectively within the limitations imposed by these rules; and</w:t>
      </w:r>
    </w:p>
    <w:p>
      <w:pPr>
        <w:spacing w:after="0" w:line="103" w:lineRule="exact"/>
        <w:rPr>
          <w:rFonts w:ascii="Times New Roman" w:cs="Times New Roman" w:eastAsia="Times New Roman" w:hAnsi="Times New Roman"/>
          <w:sz w:val="17"/>
          <w:szCs w:val="17"/>
          <w:color w:val="auto"/>
        </w:rPr>
      </w:pPr>
    </w:p>
    <w:p>
      <w:pPr>
        <w:ind w:left="328" w:right="100"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execute our dividend policy, including factors such as investment activity, operating results and the economic outlook, any or all of which may influence the decision of Host Inc.’s board of directors as to whether to pay future dividends at levels previously disclosed or to use available cash to pay special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8"/>
          </w:cols>
          <w:pgMar w:left="652" w:top="1440" w:right="339" w:bottom="1440" w:gutter="0" w:footer="0" w:header="0"/>
        </w:sectPr>
      </w:pPr>
    </w:p>
    <w:bookmarkStart w:id="6" w:name="page7"/>
    <w:bookmarkEnd w:id="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also depends upon economic trends generally, various market conditions and fluctuations and those other risk factors discussed under the heading “Risk Factors” herein and in the accompanying prospectus and under the heading “Risk Factors” in our most recent annual report on Form 10-K and subsequent quarterly reports on Form 10-Q and in our other filings with the SEC that are incorporated by reference in this prospectus supplement and the accompanying prospectus. We caution you not to place undue reliance on forward-looking statements, which reflect our analysis only and speak as of the date of this prospectus supplement or the accompanying prospectus, as applicable, or as of the dates indicated in the statements. All of our forward-looking statements, including those included and incorporated by reference in this prospectus supplement and the accompanying prospectus, such as our outlook for 2025, are qualified in their entirety by this statement. We undertake no obligation to update any forward-looking statement to conform the statement to actual results or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80"/>
          </w:cols>
          <w:pgMar w:left="320" w:top="1440" w:right="4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18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Host L.P. is a Delaware limited partnership operating through an umbrella partnership structure with Host Inc., a Maryland corporation, as its sole general partner. Host Inc. operates as a self-managed and self-administered REIT. In addition to being the sole general partner, Host Inc. holds approximately 99% of the partnership interests in Host L.P. as of March 31, 2025.</w:t>
      </w:r>
    </w:p>
    <w:p>
      <w:pPr>
        <w:spacing w:after="0" w:line="122"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8"/>
          <w:szCs w:val="18"/>
          <w:color w:val="auto"/>
        </w:rPr>
        <w:t>Host Inc. is the largest publicly traded lodging REIT, with a geographically diverse portfolio of luxury and upper upscale hotels, and conducts its operations through Host L.P. Host Inc. has the exclusive and complete responsibility for Host L.P.’s day-to-day management and control. As of March 31, 2025, our consolidated lodging portfolio consists of 81 primarily luxury and upper-upscale hotels containing approximately 43,400 rooms, with substantially all located in the United States (five of the hotels are located outside of the U.S. in Brazil and Canada). In addition, we own non-controlling interests in seven domestic and one international joint ventures that focus on the lodging industry.</w:t>
      </w:r>
    </w:p>
    <w:p>
      <w:pPr>
        <w:spacing w:after="0" w:line="1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address of our principal executive office is 4747 Bethesda Avenue, Suite 1300, Bethesda, Maryland 20814. Our phone number is</w:t>
      </w:r>
    </w:p>
    <w:p>
      <w:pPr>
        <w:spacing w:after="0" w:line="27" w:lineRule="exact"/>
        <w:rPr>
          <w:sz w:val="20"/>
          <w:szCs w:val="20"/>
          <w:color w:val="auto"/>
        </w:rPr>
      </w:pPr>
    </w:p>
    <w:p>
      <w:pPr>
        <w:ind w:left="6" w:right="200" w:hanging="6"/>
        <w:spacing w:after="0" w:line="260" w:lineRule="auto"/>
        <w:tabs>
          <w:tab w:leader="none" w:pos="4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744-1000. Our Internet website address is www.hosthotels.com. The information found on, or otherwise accessible through, our website is not incorporated into, and does not form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9846"/>
          </w:cols>
          <w:pgMar w:left="994" w:top="1440" w:right="10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87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summary below describes the principal terms of the Series M senior notes. Many of the terms and conditions described below are subject to important limitations and exceptions. For a more detailed description of the terms and conditions of the Series M senior notes, see the section entitled “Description of Series M Senior Notes” in this prospectus supplement and the section entitled “Description of Debt Securities” in the accompanying prospectus. For purposes of this section, references to “we,” “our” or “us” refer only to Host Hotels &amp; Resorts, L.P. and its successors and not to our subsidiaries.</w:t>
      </w:r>
    </w:p>
    <w:p>
      <w:pPr>
        <w:spacing w:after="0" w:line="170"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Host Hotels &amp; Resorts, L.P., a Delaware limited partnership.</w:t>
      </w:r>
    </w:p>
    <w:p>
      <w:pPr>
        <w:spacing w:after="0" w:line="185" w:lineRule="exact"/>
        <w:rPr>
          <w:sz w:val="20"/>
          <w:szCs w:val="20"/>
          <w:color w:val="auto"/>
        </w:rPr>
      </w:pPr>
    </w:p>
    <w:p>
      <w:pPr>
        <w:ind w:left="20"/>
        <w:spacing w:after="0"/>
        <w:tabs>
          <w:tab w:leader="none" w:pos="4300" w:val="left"/>
          <w:tab w:leader="none" w:pos="5020" w:val="left"/>
          <w:tab w:leader="none" w:pos="798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million aggregate principal amount of</w:t>
      </w:r>
      <w:r>
        <w:rPr>
          <w:sz w:val="20"/>
          <w:szCs w:val="20"/>
          <w:color w:val="auto"/>
        </w:rPr>
        <w:tab/>
      </w:r>
      <w:r>
        <w:rPr>
          <w:rFonts w:ascii="Times New Roman" w:cs="Times New Roman" w:eastAsia="Times New Roman" w:hAnsi="Times New Roman"/>
          <w:sz w:val="17"/>
          <w:szCs w:val="17"/>
          <w:color w:val="auto"/>
        </w:rPr>
        <w:t>% Series M senior notes</w:t>
      </w:r>
    </w:p>
    <w:p>
      <w:pPr>
        <w:spacing w:after="0" w:line="2" w:lineRule="exact"/>
        <w:rPr>
          <w:sz w:val="20"/>
          <w:szCs w:val="20"/>
          <w:color w:val="auto"/>
        </w:rPr>
      </w:pPr>
    </w:p>
    <w:p>
      <w:pPr>
        <w:ind w:left="4320"/>
        <w:spacing w:after="0"/>
        <w:tabs>
          <w:tab w:leader="none" w:pos="4960" w:val="left"/>
        </w:tabs>
        <w:rPr>
          <w:sz w:val="20"/>
          <w:szCs w:val="20"/>
          <w:color w:val="auto"/>
        </w:rPr>
      </w:pPr>
      <w:r>
        <w:rPr>
          <w:rFonts w:ascii="Times New Roman" w:cs="Times New Roman" w:eastAsia="Times New Roman" w:hAnsi="Times New Roman"/>
          <w:sz w:val="18"/>
          <w:szCs w:val="18"/>
          <w:color w:val="auto"/>
        </w:rPr>
        <w:t>due</w:t>
      </w:r>
      <w:r>
        <w:rPr>
          <w:sz w:val="20"/>
          <w:szCs w:val="20"/>
          <w:color w:val="auto"/>
        </w:rPr>
        <w:tab/>
      </w:r>
      <w:r>
        <w:rPr>
          <w:rFonts w:ascii="Times New Roman" w:cs="Times New Roman" w:eastAsia="Times New Roman" w:hAnsi="Times New Roman"/>
          <w:sz w:val="18"/>
          <w:szCs w:val="18"/>
          <w:color w:val="auto"/>
        </w:rPr>
        <w:t>.</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23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660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Interest on the Series M senior notes will accrue at an annual rate of</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920" w:type="dxa"/>
            <w:vAlign w:val="bottom"/>
            <w:gridSpan w:val="5"/>
          </w:tcPr>
          <w:p>
            <w:pPr>
              <w:ind w:left="1380"/>
              <w:spacing w:after="0" w:line="181" w:lineRule="exact"/>
              <w:rPr>
                <w:sz w:val="20"/>
                <w:szCs w:val="20"/>
                <w:color w:val="auto"/>
              </w:rPr>
            </w:pPr>
            <w:r>
              <w:rPr>
                <w:rFonts w:ascii="Times New Roman" w:cs="Times New Roman" w:eastAsia="Times New Roman" w:hAnsi="Times New Roman"/>
                <w:sz w:val="18"/>
                <w:szCs w:val="18"/>
                <w:color w:val="auto"/>
                <w:w w:val="99"/>
              </w:rPr>
              <w:t>We will pay interest on the Series M senior notes semi-annually in arrears on</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2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and</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each year, commencing</w:t>
            </w:r>
          </w:p>
        </w:tc>
        <w:tc>
          <w:tcPr>
            <w:tcW w:w="19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 2025.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6920" w:type="dxa"/>
            <w:vAlign w:val="bottom"/>
            <w:gridSpan w:val="5"/>
          </w:tcPr>
          <w:p>
            <w:pPr>
              <w:ind w:left="1380"/>
              <w:spacing w:after="0"/>
              <w:rPr>
                <w:sz w:val="20"/>
                <w:szCs w:val="20"/>
                <w:color w:val="auto"/>
              </w:rPr>
            </w:pPr>
            <w:r>
              <w:rPr>
                <w:rFonts w:ascii="Times New Roman" w:cs="Times New Roman" w:eastAsia="Times New Roman" w:hAnsi="Times New Roman"/>
                <w:sz w:val="18"/>
                <w:szCs w:val="18"/>
                <w:color w:val="auto"/>
              </w:rPr>
              <w:t>The Series M senior notes will be senior unsecured obligations, will rank</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920" w:type="dxa"/>
            <w:vAlign w:val="bottom"/>
            <w:gridSpan w:val="5"/>
          </w:tcPr>
          <w:p>
            <w:pPr>
              <w:ind w:left="1380"/>
              <w:spacing w:after="0" w:line="181" w:lineRule="exact"/>
              <w:rPr>
                <w:sz w:val="20"/>
                <w:szCs w:val="20"/>
                <w:color w:val="auto"/>
              </w:rPr>
            </w:pPr>
            <w:r>
              <w:rPr>
                <w:rFonts w:ascii="Times New Roman" w:cs="Times New Roman" w:eastAsia="Times New Roman" w:hAnsi="Times New Roman"/>
                <w:sz w:val="18"/>
                <w:szCs w:val="18"/>
                <w:color w:val="auto"/>
              </w:rPr>
              <w:t>senior to all of our future subordinated indebtedness and will rank equally in</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6600" w:type="dxa"/>
            <w:vAlign w:val="bottom"/>
            <w:gridSpan w:val="4"/>
          </w:tcPr>
          <w:p>
            <w:pPr>
              <w:ind w:left="1380"/>
              <w:spacing w:after="0" w:line="176" w:lineRule="exact"/>
              <w:rPr>
                <w:sz w:val="20"/>
                <w:szCs w:val="20"/>
                <w:color w:val="auto"/>
              </w:rPr>
            </w:pPr>
            <w:r>
              <w:rPr>
                <w:rFonts w:ascii="Times New Roman" w:cs="Times New Roman" w:eastAsia="Times New Roman" w:hAnsi="Times New Roman"/>
                <w:sz w:val="18"/>
                <w:szCs w:val="18"/>
                <w:color w:val="auto"/>
              </w:rPr>
              <w:t>right of payment with all of our existing and future senior unsecured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6600" w:type="dxa"/>
            <w:vAlign w:val="bottom"/>
            <w:gridSpan w:val="4"/>
          </w:tcPr>
          <w:p>
            <w:pPr>
              <w:ind w:left="1380"/>
              <w:spacing w:after="0" w:line="184" w:lineRule="exact"/>
              <w:rPr>
                <w:sz w:val="20"/>
                <w:szCs w:val="20"/>
                <w:color w:val="auto"/>
              </w:rPr>
            </w:pPr>
            <w:r>
              <w:rPr>
                <w:rFonts w:ascii="Times New Roman" w:cs="Times New Roman" w:eastAsia="Times New Roman" w:hAnsi="Times New Roman"/>
                <w:sz w:val="18"/>
                <w:szCs w:val="18"/>
                <w:color w:val="auto"/>
              </w:rPr>
              <w:t>indebtedness, including our Credit Facility (as defined below) and our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Existing Senior Notes.</w:t>
            </w:r>
          </w:p>
        </w:tc>
        <w:tc>
          <w:tcPr>
            <w:tcW w:w="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920" w:type="dxa"/>
            <w:vAlign w:val="bottom"/>
          </w:tcPr>
          <w:p>
            <w:pPr>
              <w:spacing w:after="0"/>
              <w:rPr>
                <w:sz w:val="24"/>
                <w:szCs w:val="24"/>
                <w:color w:val="auto"/>
              </w:rPr>
            </w:pPr>
          </w:p>
        </w:tc>
        <w:tc>
          <w:tcPr>
            <w:tcW w:w="6920" w:type="dxa"/>
            <w:vAlign w:val="bottom"/>
            <w:gridSpan w:val="5"/>
          </w:tcPr>
          <w:p>
            <w:pPr>
              <w:ind w:left="1380"/>
              <w:spacing w:after="0"/>
              <w:rPr>
                <w:sz w:val="20"/>
                <w:szCs w:val="20"/>
                <w:color w:val="auto"/>
              </w:rPr>
            </w:pPr>
            <w:r>
              <w:rPr>
                <w:rFonts w:ascii="Times New Roman" w:cs="Times New Roman" w:eastAsia="Times New Roman" w:hAnsi="Times New Roman"/>
                <w:sz w:val="18"/>
                <w:szCs w:val="18"/>
                <w:color w:val="auto"/>
              </w:rPr>
              <w:t>The Series M senior notes and the Existing Senior Notes will be effectively</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920" w:type="dxa"/>
            <w:vAlign w:val="bottom"/>
            <w:gridSpan w:val="5"/>
          </w:tcPr>
          <w:p>
            <w:pPr>
              <w:ind w:left="1380"/>
              <w:spacing w:after="0" w:line="181" w:lineRule="exact"/>
              <w:rPr>
                <w:sz w:val="20"/>
                <w:szCs w:val="20"/>
                <w:color w:val="auto"/>
              </w:rPr>
            </w:pPr>
            <w:r>
              <w:rPr>
                <w:rFonts w:ascii="Times New Roman" w:cs="Times New Roman" w:eastAsia="Times New Roman" w:hAnsi="Times New Roman"/>
                <w:sz w:val="18"/>
                <w:szCs w:val="18"/>
                <w:color w:val="auto"/>
              </w:rPr>
              <w:t>subordinated to all of our existing and future secured indebtedness, to the</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6920" w:type="dxa"/>
            <w:vAlign w:val="bottom"/>
            <w:gridSpan w:val="5"/>
          </w:tcPr>
          <w:p>
            <w:pPr>
              <w:ind w:left="1380"/>
              <w:spacing w:after="0" w:line="176" w:lineRule="exact"/>
              <w:rPr>
                <w:sz w:val="20"/>
                <w:szCs w:val="20"/>
                <w:color w:val="auto"/>
              </w:rPr>
            </w:pPr>
            <w:r>
              <w:rPr>
                <w:rFonts w:ascii="Times New Roman" w:cs="Times New Roman" w:eastAsia="Times New Roman" w:hAnsi="Times New Roman"/>
                <w:sz w:val="18"/>
                <w:szCs w:val="18"/>
                <w:color w:val="auto"/>
              </w:rPr>
              <w:t>extent of the value of the collateral securing such indebtedness, and to the</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6600" w:type="dxa"/>
            <w:vAlign w:val="bottom"/>
            <w:gridSpan w:val="4"/>
          </w:tcPr>
          <w:p>
            <w:pPr>
              <w:ind w:left="1380"/>
              <w:spacing w:after="0" w:line="184" w:lineRule="exact"/>
              <w:rPr>
                <w:sz w:val="20"/>
                <w:szCs w:val="20"/>
                <w:color w:val="auto"/>
              </w:rPr>
            </w:pPr>
            <w:r>
              <w:rPr>
                <w:rFonts w:ascii="Times New Roman" w:cs="Times New Roman" w:eastAsia="Times New Roman" w:hAnsi="Times New Roman"/>
                <w:sz w:val="18"/>
                <w:szCs w:val="18"/>
                <w:color w:val="auto"/>
                <w:w w:val="99"/>
              </w:rPr>
              <w:t>indebtedness of our subsidiaries. For further information on ranking, see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920" w:type="dxa"/>
            <w:vAlign w:val="bottom"/>
            <w:gridSpan w:val="5"/>
          </w:tcPr>
          <w:p>
            <w:pPr>
              <w:ind w:left="1380"/>
              <w:spacing w:after="0" w:line="181" w:lineRule="exact"/>
              <w:rPr>
                <w:sz w:val="20"/>
                <w:szCs w:val="20"/>
                <w:color w:val="auto"/>
              </w:rPr>
            </w:pPr>
            <w:r>
              <w:rPr>
                <w:rFonts w:ascii="Times New Roman" w:cs="Times New Roman" w:eastAsia="Times New Roman" w:hAnsi="Times New Roman"/>
                <w:sz w:val="18"/>
                <w:szCs w:val="18"/>
                <w:color w:val="auto"/>
              </w:rPr>
              <w:t>“Risk Factors—The Series M senior notes are effectively subordinated to</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6920" w:type="dxa"/>
            <w:vAlign w:val="bottom"/>
            <w:gridSpan w:val="5"/>
          </w:tcPr>
          <w:p>
            <w:pPr>
              <w:ind w:left="1380"/>
              <w:spacing w:after="0" w:line="176" w:lineRule="exact"/>
              <w:rPr>
                <w:sz w:val="20"/>
                <w:szCs w:val="20"/>
                <w:color w:val="auto"/>
              </w:rPr>
            </w:pPr>
            <w:r>
              <w:rPr>
                <w:rFonts w:ascii="Times New Roman" w:cs="Times New Roman" w:eastAsia="Times New Roman" w:hAnsi="Times New Roman"/>
                <w:sz w:val="18"/>
                <w:szCs w:val="18"/>
                <w:color w:val="auto"/>
              </w:rPr>
              <w:t>our secured debt and to the liabilities of our subsidiaries,” “Description of</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6920" w:type="dxa"/>
            <w:vAlign w:val="bottom"/>
            <w:gridSpan w:val="5"/>
          </w:tcPr>
          <w:p>
            <w:pPr>
              <w:ind w:left="1380"/>
              <w:spacing w:after="0" w:line="184" w:lineRule="exact"/>
              <w:rPr>
                <w:sz w:val="20"/>
                <w:szCs w:val="20"/>
                <w:color w:val="auto"/>
              </w:rPr>
            </w:pPr>
            <w:r>
              <w:rPr>
                <w:rFonts w:ascii="Times New Roman" w:cs="Times New Roman" w:eastAsia="Times New Roman" w:hAnsi="Times New Roman"/>
                <w:sz w:val="18"/>
                <w:szCs w:val="18"/>
                <w:color w:val="auto"/>
              </w:rPr>
              <w:t>Other Indebtedness” and “Description of Series M Senior Notes—Ranking”</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in this prospectus supplement.</w:t>
            </w:r>
          </w:p>
        </w:tc>
        <w:tc>
          <w:tcPr>
            <w:tcW w:w="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920" w:type="dxa"/>
            <w:vAlign w:val="bottom"/>
          </w:tcPr>
          <w:p>
            <w:pPr>
              <w:spacing w:after="0"/>
              <w:rPr>
                <w:sz w:val="24"/>
                <w:szCs w:val="24"/>
                <w:color w:val="auto"/>
              </w:rPr>
            </w:pPr>
          </w:p>
        </w:tc>
        <w:tc>
          <w:tcPr>
            <w:tcW w:w="6920" w:type="dxa"/>
            <w:vAlign w:val="bottom"/>
            <w:gridSpan w:val="5"/>
          </w:tcPr>
          <w:p>
            <w:pPr>
              <w:ind w:left="1380"/>
              <w:spacing w:after="0"/>
              <w:rPr>
                <w:sz w:val="20"/>
                <w:szCs w:val="20"/>
                <w:color w:val="auto"/>
              </w:rPr>
            </w:pPr>
            <w:r>
              <w:rPr>
                <w:rFonts w:ascii="Times New Roman" w:cs="Times New Roman" w:eastAsia="Times New Roman" w:hAnsi="Times New Roman"/>
                <w:sz w:val="18"/>
                <w:szCs w:val="18"/>
                <w:color w:val="auto"/>
              </w:rPr>
              <w:t>As of March 31, 2025, as adjusted to give effect to the offering of the Series</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920" w:type="dxa"/>
            <w:vAlign w:val="bottom"/>
            <w:gridSpan w:val="5"/>
          </w:tcPr>
          <w:p>
            <w:pPr>
              <w:ind w:left="1380"/>
              <w:spacing w:after="0" w:line="181" w:lineRule="exact"/>
              <w:rPr>
                <w:sz w:val="20"/>
                <w:szCs w:val="20"/>
                <w:color w:val="auto"/>
              </w:rPr>
            </w:pPr>
            <w:r>
              <w:rPr>
                <w:rFonts w:ascii="Times New Roman" w:cs="Times New Roman" w:eastAsia="Times New Roman" w:hAnsi="Times New Roman"/>
                <w:sz w:val="18"/>
                <w:szCs w:val="18"/>
                <w:color w:val="auto"/>
              </w:rPr>
              <w:t>M senior notes and the application of the estimated net proceeds from this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6600" w:type="dxa"/>
            <w:vAlign w:val="bottom"/>
            <w:gridSpan w:val="4"/>
          </w:tcPr>
          <w:p>
            <w:pPr>
              <w:ind w:left="1380"/>
              <w:spacing w:after="0" w:line="176" w:lineRule="exact"/>
              <w:rPr>
                <w:sz w:val="20"/>
                <w:szCs w:val="20"/>
                <w:color w:val="auto"/>
              </w:rPr>
            </w:pPr>
            <w:r>
              <w:rPr>
                <w:rFonts w:ascii="Times New Roman" w:cs="Times New Roman" w:eastAsia="Times New Roman" w:hAnsi="Times New Roman"/>
                <w:sz w:val="18"/>
                <w:szCs w:val="18"/>
                <w:color w:val="auto"/>
              </w:rPr>
              <w:t>offering as described under “Use of Proceeds,” we and our subsidiaries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4000" w:type="dxa"/>
            <w:vAlign w:val="bottom"/>
            <w:gridSpan w:val="2"/>
          </w:tcPr>
          <w:p>
            <w:pPr>
              <w:ind w:left="1380"/>
              <w:spacing w:after="0" w:line="184" w:lineRule="exact"/>
              <w:rPr>
                <w:sz w:val="20"/>
                <w:szCs w:val="20"/>
                <w:color w:val="auto"/>
              </w:rPr>
            </w:pPr>
            <w:r>
              <w:rPr>
                <w:rFonts w:ascii="Times New Roman" w:cs="Times New Roman" w:eastAsia="Times New Roman" w:hAnsi="Times New Roman"/>
                <w:sz w:val="18"/>
                <w:szCs w:val="18"/>
                <w:color w:val="auto"/>
              </w:rPr>
              <w:t>would have had approximately $</w:t>
            </w:r>
          </w:p>
        </w:tc>
        <w:tc>
          <w:tcPr>
            <w:tcW w:w="2600" w:type="dxa"/>
            <w:vAlign w:val="bottom"/>
            <w:gridSpan w:val="2"/>
          </w:tcPr>
          <w:p>
            <w:pPr>
              <w:jc w:val="right"/>
              <w:ind w:right="490"/>
              <w:spacing w:after="0" w:line="184" w:lineRule="exact"/>
              <w:rPr>
                <w:sz w:val="20"/>
                <w:szCs w:val="20"/>
                <w:color w:val="auto"/>
              </w:rPr>
            </w:pPr>
            <w:r>
              <w:rPr>
                <w:rFonts w:ascii="Times New Roman" w:cs="Times New Roman" w:eastAsia="Times New Roman" w:hAnsi="Times New Roman"/>
                <w:sz w:val="18"/>
                <w:szCs w:val="18"/>
                <w:color w:val="auto"/>
              </w:rPr>
              <w:t>billion of total debt. See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600" w:type="dxa"/>
            <w:vAlign w:val="bottom"/>
            <w:gridSpan w:val="4"/>
          </w:tcPr>
          <w:p>
            <w:pPr>
              <w:ind w:left="1380"/>
              <w:spacing w:after="0" w:line="181" w:lineRule="exact"/>
              <w:rPr>
                <w:sz w:val="20"/>
                <w:szCs w:val="20"/>
                <w:color w:val="auto"/>
              </w:rPr>
            </w:pPr>
            <w:r>
              <w:rPr>
                <w:rFonts w:ascii="Times New Roman" w:cs="Times New Roman" w:eastAsia="Times New Roman" w:hAnsi="Times New Roman"/>
                <w:sz w:val="18"/>
                <w:szCs w:val="18"/>
                <w:color w:val="auto"/>
              </w:rPr>
              <w:t>“Capitalization.” As of March 31, 2025, we had no subordinated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23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indebtedness.</w:t>
            </w:r>
          </w:p>
        </w:tc>
        <w:tc>
          <w:tcPr>
            <w:tcW w:w="1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6920" w:type="dxa"/>
            <w:vAlign w:val="bottom"/>
            <w:gridSpan w:val="5"/>
          </w:tcPr>
          <w:p>
            <w:pPr>
              <w:ind w:left="1380"/>
              <w:spacing w:after="0"/>
              <w:rPr>
                <w:sz w:val="20"/>
                <w:szCs w:val="20"/>
                <w:color w:val="auto"/>
              </w:rPr>
            </w:pPr>
            <w:r>
              <w:rPr>
                <w:rFonts w:ascii="Times New Roman" w:cs="Times New Roman" w:eastAsia="Times New Roman" w:hAnsi="Times New Roman"/>
                <w:sz w:val="18"/>
                <w:szCs w:val="18"/>
                <w:color w:val="auto"/>
              </w:rPr>
              <w:t>We have the option to redeem the Series M senior notes in whole or in part,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6600" w:type="dxa"/>
            <w:vAlign w:val="bottom"/>
            <w:gridSpan w:val="4"/>
          </w:tcPr>
          <w:p>
            <w:pPr>
              <w:ind w:left="1380"/>
              <w:spacing w:after="0" w:line="181" w:lineRule="exact"/>
              <w:rPr>
                <w:sz w:val="20"/>
                <w:szCs w:val="20"/>
                <w:color w:val="auto"/>
              </w:rPr>
            </w:pPr>
            <w:r>
              <w:rPr>
                <w:rFonts w:ascii="Times New Roman" w:cs="Times New Roman" w:eastAsia="Times New Roman" w:hAnsi="Times New Roman"/>
                <w:sz w:val="18"/>
                <w:szCs w:val="18"/>
                <w:color w:val="auto"/>
              </w:rPr>
              <w:t>at any time and from time to time, at the applicable redemption price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6600" w:type="dxa"/>
            <w:vAlign w:val="bottom"/>
            <w:gridSpan w:val="4"/>
          </w:tcPr>
          <w:p>
            <w:pPr>
              <w:ind w:left="1380"/>
              <w:spacing w:after="0" w:line="191" w:lineRule="exact"/>
              <w:rPr>
                <w:sz w:val="20"/>
                <w:szCs w:val="20"/>
                <w:color w:val="auto"/>
              </w:rPr>
            </w:pPr>
            <w:r>
              <w:rPr>
                <w:rFonts w:ascii="Times New Roman" w:cs="Times New Roman" w:eastAsia="Times New Roman" w:hAnsi="Times New Roman"/>
                <w:sz w:val="18"/>
                <w:szCs w:val="18"/>
                <w:color w:val="auto"/>
              </w:rPr>
              <w:t>specified herein. If the Series M senior notes are redeemed on or after</w:t>
            </w: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jc w:val="both"/>
        <w:ind w:left="4320" w:right="80" w:hanging="2"/>
        <w:spacing w:after="0" w:line="218" w:lineRule="auto"/>
        <w:tabs>
          <w:tab w:leader="none" w:pos="4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their maturity date), the redemption price will be equal to 100% of the principal amount of the Series M senior notes to be redeemed, plus accrued and unpaid interest to, but not including, the date of redemption.</w:t>
      </w:r>
    </w:p>
    <w:p>
      <w:pPr>
        <w:spacing w:after="0" w:line="159" w:lineRule="exact"/>
        <w:rPr>
          <w:sz w:val="20"/>
          <w:szCs w:val="20"/>
          <w:color w:val="auto"/>
        </w:rPr>
      </w:pPr>
    </w:p>
    <w:p>
      <w:pPr>
        <w:ind w:left="4320" w:right="280"/>
        <w:spacing w:after="0" w:line="250" w:lineRule="auto"/>
        <w:rPr>
          <w:sz w:val="20"/>
          <w:szCs w:val="20"/>
          <w:color w:val="auto"/>
        </w:rPr>
      </w:pPr>
      <w:r>
        <w:rPr>
          <w:rFonts w:ascii="Times New Roman" w:cs="Times New Roman" w:eastAsia="Times New Roman" w:hAnsi="Times New Roman"/>
          <w:sz w:val="18"/>
          <w:szCs w:val="18"/>
          <w:color w:val="auto"/>
        </w:rPr>
        <w:t>For more details, see the section entitled “Description of Series M Senior Notes—Optional Redemption.”</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9860"/>
          </w:cols>
          <w:pgMar w:left="1000" w:top="1440" w:right="1039" w:bottom="1440" w:gutter="0" w:footer="0" w:header="0"/>
          <w:type w:val="continuous"/>
        </w:sectPr>
      </w:pPr>
    </w:p>
    <w:bookmarkStart w:id="9" w:name="page10"/>
    <w:bookmarkEnd w:id="9"/>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44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Certain Covenants</w:t>
            </w:r>
          </w:p>
        </w:tc>
        <w:tc>
          <w:tcPr>
            <w:tcW w:w="6780" w:type="dxa"/>
            <w:vAlign w:val="bottom"/>
            <w:tcBorders>
              <w:top w:val="single" w:sz="8" w:color="auto"/>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The covenants applicable to the Series M senior notes will be identical in all</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material respects to the covenants applicable to the Series K and Series L</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notes. The Indenture governing the Series M senior notes, among</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other things, restricts our ability and the ability of our subsidiaries to:</w:t>
            </w:r>
          </w:p>
        </w:tc>
      </w:tr>
      <w:tr>
        <w:trPr>
          <w:trHeight w:val="341"/>
        </w:trPr>
        <w:tc>
          <w:tcPr>
            <w:tcW w:w="446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incur additional secured and unsecured indebtedness without satisfying</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certain financial metrics; and</w:t>
            </w:r>
          </w:p>
        </w:tc>
      </w:tr>
      <w:tr>
        <w:trPr>
          <w:trHeight w:val="283"/>
        </w:trPr>
        <w:tc>
          <w:tcPr>
            <w:tcW w:w="446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sell all or substantially all of our assets or merge with or into other</w:t>
            </w:r>
          </w:p>
        </w:tc>
      </w:tr>
      <w:tr>
        <w:trPr>
          <w:trHeight w:val="234"/>
        </w:trPr>
        <w:tc>
          <w:tcPr>
            <w:tcW w:w="4460" w:type="dxa"/>
            <w:vAlign w:val="bottom"/>
            <w:tcBorders>
              <w:left w:val="single" w:sz="8" w:color="auto"/>
            </w:tcBorders>
          </w:tcPr>
          <w:p>
            <w:pPr>
              <w:spacing w:after="0"/>
              <w:rPr>
                <w:sz w:val="20"/>
                <w:szCs w:val="20"/>
                <w:color w:val="auto"/>
              </w:rPr>
            </w:pPr>
          </w:p>
        </w:tc>
        <w:tc>
          <w:tcPr>
            <w:tcW w:w="2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companies.</w:t>
            </w:r>
          </w:p>
        </w:tc>
        <w:tc>
          <w:tcPr>
            <w:tcW w:w="4380" w:type="dxa"/>
            <w:vAlign w:val="bottom"/>
            <w:tcBorders>
              <w:right w:val="single" w:sz="8" w:color="auto"/>
            </w:tcBorders>
          </w:tcPr>
          <w:p>
            <w:pPr>
              <w:spacing w:after="0"/>
              <w:rPr>
                <w:sz w:val="20"/>
                <w:szCs w:val="20"/>
                <w:color w:val="auto"/>
              </w:rPr>
            </w:pPr>
          </w:p>
        </w:tc>
      </w:tr>
      <w:tr>
        <w:trPr>
          <w:trHeight w:val="341"/>
        </w:trPr>
        <w:tc>
          <w:tcPr>
            <w:tcW w:w="446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These limitations are subject to important exceptions and qualifications. See</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“Description of Series M Senior Notes” in this prospectus supplement.</w:t>
            </w: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No Limitation on Incurrence of Indebtedness</w:t>
            </w: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Subject to compliance with covenants relating to our aggregate debt,</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maintenance of total unencumbered assets, debt service and aggregate</w:t>
            </w:r>
          </w:p>
        </w:tc>
      </w:tr>
      <w:tr>
        <w:trPr>
          <w:trHeight w:val="176"/>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secured debt, the Indenture does not limit the amount of debt that we may</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issue under the Indenture or otherwise.</w:t>
            </w:r>
          </w:p>
        </w:tc>
      </w:tr>
      <w:tr>
        <w:trPr>
          <w:trHeight w:val="341"/>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Guarantees</w:t>
            </w: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The Series M senior notes will not be guaranteed by Host Inc. or by any of</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our direct or indirect subsidiaries. Under certain circumstances, certain of</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our direct and indirect subsidiaries, in the future, may be required to</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gridSpan w:val="2"/>
          </w:tcPr>
          <w:p>
            <w:pPr>
              <w:ind w:left="540"/>
              <w:spacing w:after="0" w:line="184" w:lineRule="exact"/>
              <w:rPr>
                <w:sz w:val="20"/>
                <w:szCs w:val="20"/>
                <w:color w:val="auto"/>
              </w:rPr>
            </w:pPr>
            <w:r>
              <w:rPr>
                <w:rFonts w:ascii="Times New Roman" w:cs="Times New Roman" w:eastAsia="Times New Roman" w:hAnsi="Times New Roman"/>
                <w:sz w:val="18"/>
                <w:szCs w:val="18"/>
                <w:color w:val="auto"/>
              </w:rPr>
              <w:t>guarantee the Series M senior notes, as well as certain of our other</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outstanding indebtedness, including the Existing Senior Notes and the Credit</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Facility. However, this covenant will no longer apply at any time following</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gridSpan w:val="2"/>
          </w:tcPr>
          <w:p>
            <w:pPr>
              <w:ind w:left="540"/>
              <w:spacing w:after="0" w:line="184" w:lineRule="exact"/>
              <w:rPr>
                <w:sz w:val="20"/>
                <w:szCs w:val="20"/>
                <w:color w:val="auto"/>
              </w:rPr>
            </w:pPr>
            <w:r>
              <w:rPr>
                <w:rFonts w:ascii="Times New Roman" w:cs="Times New Roman" w:eastAsia="Times New Roman" w:hAnsi="Times New Roman"/>
                <w:sz w:val="18"/>
                <w:szCs w:val="18"/>
                <w:color w:val="auto"/>
              </w:rPr>
              <w:t>the elimination of the future guarantees covenant (including upon</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redemption or repayment in full) from all of the outstanding Pre-Series K</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Notes (as defined below) and from the Credit Facility. Even if we are</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gridSpan w:val="2"/>
          </w:tcPr>
          <w:p>
            <w:pPr>
              <w:ind w:left="540"/>
              <w:spacing w:after="0" w:line="184" w:lineRule="exact"/>
              <w:rPr>
                <w:sz w:val="20"/>
                <w:szCs w:val="20"/>
                <w:color w:val="auto"/>
              </w:rPr>
            </w:pPr>
            <w:r>
              <w:rPr>
                <w:rFonts w:ascii="Times New Roman" w:cs="Times New Roman" w:eastAsia="Times New Roman" w:hAnsi="Times New Roman"/>
                <w:sz w:val="18"/>
                <w:szCs w:val="18"/>
                <w:color w:val="auto"/>
              </w:rPr>
              <w:t>required to provide for subsidiary guarantors in the future, those subsidiaries</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may be released without the consent of holders under certain circumstances.</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See “Description of Other Indebtedness—Senior Notes” and “Description of</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gridSpan w:val="2"/>
          </w:tcPr>
          <w:p>
            <w:pPr>
              <w:ind w:left="540"/>
              <w:spacing w:after="0" w:line="184" w:lineRule="exact"/>
              <w:rPr>
                <w:sz w:val="20"/>
                <w:szCs w:val="20"/>
                <w:color w:val="auto"/>
              </w:rPr>
            </w:pPr>
            <w:r>
              <w:rPr>
                <w:rFonts w:ascii="Times New Roman" w:cs="Times New Roman" w:eastAsia="Times New Roman" w:hAnsi="Times New Roman"/>
                <w:sz w:val="18"/>
                <w:szCs w:val="18"/>
                <w:color w:val="auto"/>
              </w:rPr>
              <w:t>Series M Senior Notes—Certain Covenants—Future Guarantees” in this</w:t>
            </w:r>
          </w:p>
        </w:tc>
      </w:tr>
      <w:tr>
        <w:trPr>
          <w:trHeight w:val="234"/>
        </w:trPr>
        <w:tc>
          <w:tcPr>
            <w:tcW w:w="4460" w:type="dxa"/>
            <w:vAlign w:val="bottom"/>
            <w:tcBorders>
              <w:left w:val="single" w:sz="8" w:color="auto"/>
            </w:tcBorders>
          </w:tcPr>
          <w:p>
            <w:pPr>
              <w:spacing w:after="0"/>
              <w:rPr>
                <w:sz w:val="20"/>
                <w:szCs w:val="20"/>
                <w:color w:val="auto"/>
              </w:rPr>
            </w:pPr>
          </w:p>
        </w:tc>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prospectus supplement.</w:t>
            </w:r>
          </w:p>
        </w:tc>
        <w:tc>
          <w:tcPr>
            <w:tcW w:w="4380" w:type="dxa"/>
            <w:vAlign w:val="bottom"/>
            <w:tcBorders>
              <w:right w:val="single" w:sz="8" w:color="auto"/>
            </w:tcBorders>
          </w:tcPr>
          <w:p>
            <w:pPr>
              <w:spacing w:after="0"/>
              <w:rPr>
                <w:sz w:val="20"/>
                <w:szCs w:val="20"/>
                <w:color w:val="auto"/>
              </w:rPr>
            </w:pP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Security</w:t>
            </w: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The Series M senior notes will not be secured by any of our assets or the</w:t>
            </w:r>
          </w:p>
        </w:tc>
      </w:tr>
      <w:tr>
        <w:trPr>
          <w:trHeight w:val="234"/>
        </w:trPr>
        <w:tc>
          <w:tcPr>
            <w:tcW w:w="4460" w:type="dxa"/>
            <w:vAlign w:val="bottom"/>
            <w:tcBorders>
              <w:left w:val="single" w:sz="8" w:color="auto"/>
            </w:tcBorders>
          </w:tcPr>
          <w:p>
            <w:pPr>
              <w:spacing w:after="0"/>
              <w:rPr>
                <w:sz w:val="20"/>
                <w:szCs w:val="20"/>
                <w:color w:val="auto"/>
              </w:rPr>
            </w:pPr>
          </w:p>
        </w:tc>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assets of our subsidiaries.</w:t>
            </w:r>
          </w:p>
        </w:tc>
        <w:tc>
          <w:tcPr>
            <w:tcW w:w="4380" w:type="dxa"/>
            <w:vAlign w:val="bottom"/>
            <w:tcBorders>
              <w:right w:val="single" w:sz="8" w:color="auto"/>
            </w:tcBorders>
          </w:tcPr>
          <w:p>
            <w:pPr>
              <w:spacing w:after="0"/>
              <w:rPr>
                <w:sz w:val="20"/>
                <w:szCs w:val="20"/>
                <w:color w:val="auto"/>
              </w:rPr>
            </w:pP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Use of Proceeds</w:t>
            </w: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We estimate the net proceeds from the sale of the Series M senior notes will</w:t>
            </w:r>
          </w:p>
        </w:tc>
      </w:tr>
      <w:tr>
        <w:trPr>
          <w:trHeight w:val="180"/>
        </w:trPr>
        <w:tc>
          <w:tcPr>
            <w:tcW w:w="4460" w:type="dxa"/>
            <w:vAlign w:val="bottom"/>
            <w:tcBorders>
              <w:left w:val="single" w:sz="8" w:color="auto"/>
            </w:tcBorders>
          </w:tcPr>
          <w:p>
            <w:pPr>
              <w:spacing w:after="0"/>
              <w:rPr>
                <w:sz w:val="15"/>
                <w:szCs w:val="15"/>
                <w:color w:val="auto"/>
              </w:rPr>
            </w:pPr>
          </w:p>
        </w:tc>
        <w:tc>
          <w:tcPr>
            <w:tcW w:w="240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be approximately $</w:t>
            </w:r>
          </w:p>
        </w:tc>
        <w:tc>
          <w:tcPr>
            <w:tcW w:w="43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million, after deducting the underwriting discount,</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fees and expenses payable by us. We intend to use the net proceeds from the</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gridSpan w:val="2"/>
          </w:tcPr>
          <w:p>
            <w:pPr>
              <w:ind w:left="540"/>
              <w:spacing w:after="0" w:line="184" w:lineRule="exact"/>
              <w:rPr>
                <w:sz w:val="20"/>
                <w:szCs w:val="20"/>
                <w:color w:val="auto"/>
              </w:rPr>
            </w:pPr>
            <w:r>
              <w:rPr>
                <w:rFonts w:ascii="Times New Roman" w:cs="Times New Roman" w:eastAsia="Times New Roman" w:hAnsi="Times New Roman"/>
                <w:sz w:val="18"/>
                <w:szCs w:val="18"/>
                <w:color w:val="auto"/>
              </w:rPr>
              <w:t>sale of the Series M senior notes, together with cash on hand depending on</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the principal amount of Series M senior notes offered hereby, to redeem all</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of the outstanding $500 million aggregate principal amount of our Series E</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gridSpan w:val="2"/>
          </w:tcPr>
          <w:p>
            <w:pPr>
              <w:ind w:left="540"/>
              <w:spacing w:after="0" w:line="184" w:lineRule="exact"/>
              <w:rPr>
                <w:sz w:val="20"/>
                <w:szCs w:val="20"/>
                <w:color w:val="auto"/>
              </w:rPr>
            </w:pPr>
            <w:r>
              <w:rPr>
                <w:rFonts w:ascii="Times New Roman" w:cs="Times New Roman" w:eastAsia="Times New Roman" w:hAnsi="Times New Roman"/>
                <w:sz w:val="18"/>
                <w:szCs w:val="18"/>
                <w:color w:val="auto"/>
              </w:rPr>
              <w:t>senior notes at an aggregate redemption price of $500 million, not including</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accrued interest. The remaining net proceeds, if any, will be used for general</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corporate purposes. See “Use of Proceeds” in this prospectus supplement.</w:t>
            </w:r>
          </w:p>
        </w:tc>
      </w:tr>
      <w:tr>
        <w:trPr>
          <w:trHeight w:val="341"/>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Absence of Public Market</w:t>
            </w: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81" w:lineRule="exact"/>
              <w:rPr>
                <w:sz w:val="20"/>
                <w:szCs w:val="20"/>
                <w:color w:val="auto"/>
              </w:rPr>
            </w:pPr>
            <w:r>
              <w:rPr>
                <w:rFonts w:ascii="Times New Roman" w:cs="Times New Roman" w:eastAsia="Times New Roman" w:hAnsi="Times New Roman"/>
                <w:sz w:val="18"/>
                <w:szCs w:val="18"/>
                <w:color w:val="auto"/>
              </w:rPr>
              <w:t>trading market. We cannot assure you that any active or liquid market will</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develop for the Series M senior notes. See “Underwriting—New Issue of</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Notes” in this prospectus supplement.</w:t>
            </w:r>
          </w:p>
        </w:tc>
      </w:tr>
      <w:tr>
        <w:trPr>
          <w:trHeight w:val="734"/>
        </w:trPr>
        <w:tc>
          <w:tcPr>
            <w:tcW w:w="4460" w:type="dxa"/>
            <w:vAlign w:val="bottom"/>
            <w:tcBorders>
              <w:left w:val="single" w:sz="8" w:color="auto"/>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3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35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Other Relationships</w:t>
            </w:r>
          </w:p>
        </w:tc>
        <w:tc>
          <w:tcPr>
            <w:tcW w:w="7680" w:type="dxa"/>
            <w:vAlign w:val="bottom"/>
            <w:tcBorders>
              <w:top w:val="single" w:sz="8" w:color="auto"/>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Certain of the underwriters or their affiliates may hold the Series E senior</w:t>
            </w:r>
          </w:p>
        </w:tc>
        <w:tc>
          <w:tcPr>
            <w:tcW w:w="0" w:type="dxa"/>
            <w:vAlign w:val="bottom"/>
          </w:tcPr>
          <w:p>
            <w:pPr>
              <w:spacing w:after="0"/>
              <w:rPr>
                <w:sz w:val="1"/>
                <w:szCs w:val="1"/>
                <w:color w:val="auto"/>
              </w:rPr>
            </w:pPr>
          </w:p>
        </w:tc>
      </w:tr>
      <w:tr>
        <w:trPr>
          <w:trHeight w:val="180"/>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81" w:lineRule="exact"/>
              <w:rPr>
                <w:sz w:val="20"/>
                <w:szCs w:val="20"/>
                <w:color w:val="auto"/>
              </w:rPr>
            </w:pPr>
            <w:r>
              <w:rPr>
                <w:rFonts w:ascii="Times New Roman" w:cs="Times New Roman" w:eastAsia="Times New Roman" w:hAnsi="Times New Roman"/>
                <w:sz w:val="18"/>
                <w:szCs w:val="18"/>
                <w:color w:val="auto"/>
              </w:rPr>
              <w:t>notes and as a result of the redemption thereof as set forth under the heading</w:t>
            </w:r>
          </w:p>
        </w:tc>
        <w:tc>
          <w:tcPr>
            <w:tcW w:w="0" w:type="dxa"/>
            <w:vAlign w:val="bottom"/>
          </w:tcPr>
          <w:p>
            <w:pPr>
              <w:spacing w:after="0"/>
              <w:rPr>
                <w:sz w:val="1"/>
                <w:szCs w:val="1"/>
                <w:color w:val="auto"/>
              </w:rPr>
            </w:pPr>
          </w:p>
        </w:tc>
      </w:tr>
      <w:tr>
        <w:trPr>
          <w:trHeight w:val="176"/>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“Use of Proceeds” in this prospectus supplement, may receive a portion of</w:t>
            </w:r>
          </w:p>
        </w:tc>
        <w:tc>
          <w:tcPr>
            <w:tcW w:w="0" w:type="dxa"/>
            <w:vAlign w:val="bottom"/>
          </w:tcPr>
          <w:p>
            <w:pPr>
              <w:spacing w:after="0"/>
              <w:rPr>
                <w:sz w:val="1"/>
                <w:szCs w:val="1"/>
                <w:color w:val="auto"/>
              </w:rPr>
            </w:pPr>
          </w:p>
        </w:tc>
      </w:tr>
      <w:tr>
        <w:trPr>
          <w:trHeight w:val="184"/>
        </w:trPr>
        <w:tc>
          <w:tcPr>
            <w:tcW w:w="356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gridSpan w:val="3"/>
          </w:tcPr>
          <w:p>
            <w:pPr>
              <w:ind w:left="1440"/>
              <w:spacing w:after="0" w:line="184" w:lineRule="exact"/>
              <w:rPr>
                <w:sz w:val="20"/>
                <w:szCs w:val="20"/>
                <w:color w:val="auto"/>
              </w:rPr>
            </w:pPr>
            <w:r>
              <w:rPr>
                <w:rFonts w:ascii="Times New Roman" w:cs="Times New Roman" w:eastAsia="Times New Roman" w:hAnsi="Times New Roman"/>
                <w:sz w:val="18"/>
                <w:szCs w:val="18"/>
                <w:color w:val="auto"/>
              </w:rPr>
              <w:t>the net proceeds from this offering. See “Underwriting—Other</w:t>
            </w: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Relationships.”</w:t>
            </w:r>
          </w:p>
        </w:tc>
        <w:tc>
          <w:tcPr>
            <w:tcW w:w="0" w:type="dxa"/>
            <w:vAlign w:val="bottom"/>
          </w:tcPr>
          <w:p>
            <w:pPr>
              <w:spacing w:after="0"/>
              <w:rPr>
                <w:sz w:val="1"/>
                <w:szCs w:val="1"/>
                <w:color w:val="auto"/>
              </w:rPr>
            </w:pPr>
          </w:p>
        </w:tc>
      </w:tr>
      <w:tr>
        <w:trPr>
          <w:trHeight w:val="351"/>
        </w:trPr>
        <w:tc>
          <w:tcPr>
            <w:tcW w:w="35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 xml:space="preserve">You should read carefully the “Risk Factors” beginning on page </w:t>
            </w:r>
            <w:r>
              <w:rPr>
                <w:rFonts w:ascii="Times New Roman" w:cs="Times New Roman" w:eastAsia="Times New Roman" w:hAnsi="Times New Roman"/>
                <w:sz w:val="18"/>
                <w:szCs w:val="18"/>
                <w:color w:val="0000FF"/>
              </w:rPr>
              <w:t>S-9</w:t>
            </w:r>
            <w:r>
              <w:rPr>
                <w:rFonts w:ascii="Times New Roman" w:cs="Times New Roman" w:eastAsia="Times New Roman" w:hAnsi="Times New Roman"/>
                <w:sz w:val="18"/>
                <w:szCs w:val="18"/>
                <w:color w:val="auto"/>
              </w:rPr>
              <w:t xml:space="preserve"> of this</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tcBorders>
              <w:right w:val="single" w:sz="8" w:color="auto"/>
            </w:tcBorders>
            <w:vMerge w:val="restart"/>
          </w:tcPr>
          <w:p>
            <w:pPr>
              <w:ind w:left="140"/>
              <w:spacing w:after="0" w:line="176" w:lineRule="exact"/>
              <w:rPr>
                <w:sz w:val="20"/>
                <w:szCs w:val="20"/>
                <w:color w:val="auto"/>
              </w:rPr>
            </w:pPr>
            <w:r>
              <w:rPr>
                <w:rFonts w:ascii="Times New Roman" w:cs="Times New Roman" w:eastAsia="Times New Roman" w:hAnsi="Times New Roman"/>
                <w:sz w:val="18"/>
                <w:szCs w:val="18"/>
                <w:color w:val="auto"/>
              </w:rPr>
              <w:t>on</w:t>
            </w:r>
          </w:p>
        </w:tc>
        <w:tc>
          <w:tcPr>
            <w:tcW w:w="0" w:type="dxa"/>
            <w:vAlign w:val="bottom"/>
          </w:tcPr>
          <w:p>
            <w:pPr>
              <w:spacing w:after="0" w:line="20" w:lineRule="exact"/>
              <w:rPr>
                <w:sz w:val="1"/>
                <w:szCs w:val="1"/>
                <w:color w:val="auto"/>
              </w:rPr>
            </w:pPr>
          </w:p>
        </w:tc>
      </w:tr>
      <w:tr>
        <w:trPr>
          <w:trHeight w:val="156"/>
        </w:trPr>
        <w:tc>
          <w:tcPr>
            <w:tcW w:w="3560" w:type="dxa"/>
            <w:vAlign w:val="bottom"/>
            <w:tcBorders>
              <w:left w:val="single" w:sz="8" w:color="auto"/>
            </w:tcBorders>
          </w:tcPr>
          <w:p>
            <w:pPr>
              <w:spacing w:after="0"/>
              <w:rPr>
                <w:sz w:val="13"/>
                <w:szCs w:val="13"/>
                <w:color w:val="auto"/>
              </w:rPr>
            </w:pPr>
          </w:p>
        </w:tc>
        <w:tc>
          <w:tcPr>
            <w:tcW w:w="6340" w:type="dxa"/>
            <w:vAlign w:val="bottom"/>
            <w:gridSpan w:val="2"/>
          </w:tcPr>
          <w:p>
            <w:pPr>
              <w:ind w:left="1440"/>
              <w:spacing w:after="0" w:line="156" w:lineRule="exact"/>
              <w:rPr>
                <w:sz w:val="20"/>
                <w:szCs w:val="20"/>
                <w:color w:val="auto"/>
              </w:rPr>
            </w:pPr>
            <w:r>
              <w:rPr>
                <w:rFonts w:ascii="Times New Roman" w:cs="Times New Roman" w:eastAsia="Times New Roman" w:hAnsi="Times New Roman"/>
                <w:sz w:val="18"/>
                <w:szCs w:val="18"/>
                <w:color w:val="auto"/>
                <w:w w:val="97"/>
              </w:rPr>
              <w:t>prospectus supplement and set forth in Item 1A of our Annual Report</w:t>
            </w:r>
          </w:p>
        </w:tc>
        <w:tc>
          <w:tcPr>
            <w:tcW w:w="1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Form 10-K for the year ended December 31, 2024, which is incorporated</w:t>
            </w:r>
          </w:p>
        </w:tc>
        <w:tc>
          <w:tcPr>
            <w:tcW w:w="0" w:type="dxa"/>
            <w:vAlign w:val="bottom"/>
          </w:tcPr>
          <w:p>
            <w:pPr>
              <w:spacing w:after="0"/>
              <w:rPr>
                <w:sz w:val="1"/>
                <w:szCs w:val="1"/>
                <w:color w:val="auto"/>
              </w:rPr>
            </w:pPr>
          </w:p>
        </w:tc>
      </w:tr>
      <w:tr>
        <w:trPr>
          <w:trHeight w:val="184"/>
        </w:trPr>
        <w:tc>
          <w:tcPr>
            <w:tcW w:w="356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gridSpan w:val="3"/>
          </w:tcPr>
          <w:p>
            <w:pPr>
              <w:ind w:left="1440"/>
              <w:spacing w:after="0" w:line="184" w:lineRule="exact"/>
              <w:rPr>
                <w:sz w:val="20"/>
                <w:szCs w:val="20"/>
                <w:color w:val="auto"/>
              </w:rPr>
            </w:pPr>
            <w:r>
              <w:rPr>
                <w:rFonts w:ascii="Times New Roman" w:cs="Times New Roman" w:eastAsia="Times New Roman" w:hAnsi="Times New Roman"/>
                <w:sz w:val="18"/>
                <w:szCs w:val="18"/>
                <w:color w:val="auto"/>
              </w:rPr>
              <w:t>herein by reference, as well as the risk factors discussed in the periodic</w:t>
            </w:r>
          </w:p>
        </w:tc>
        <w:tc>
          <w:tcPr>
            <w:tcW w:w="0" w:type="dxa"/>
            <w:vAlign w:val="bottom"/>
          </w:tcPr>
          <w:p>
            <w:pPr>
              <w:spacing w:after="0"/>
              <w:rPr>
                <w:sz w:val="1"/>
                <w:szCs w:val="1"/>
                <w:color w:val="auto"/>
              </w:rPr>
            </w:pPr>
          </w:p>
        </w:tc>
      </w:tr>
      <w:tr>
        <w:trPr>
          <w:trHeight w:val="180"/>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81" w:lineRule="exact"/>
              <w:rPr>
                <w:sz w:val="20"/>
                <w:szCs w:val="20"/>
                <w:color w:val="auto"/>
              </w:rPr>
            </w:pPr>
            <w:r>
              <w:rPr>
                <w:rFonts w:ascii="Times New Roman" w:cs="Times New Roman" w:eastAsia="Times New Roman" w:hAnsi="Times New Roman"/>
                <w:sz w:val="18"/>
                <w:szCs w:val="18"/>
                <w:color w:val="auto"/>
              </w:rPr>
              <w:t>reports and other documents we file from time to time with the Commission</w:t>
            </w: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and which we incorporate into this prospectus supplement by reference.</w:t>
            </w:r>
          </w:p>
        </w:tc>
        <w:tc>
          <w:tcPr>
            <w:tcW w:w="0" w:type="dxa"/>
            <w:vAlign w:val="bottom"/>
          </w:tcPr>
          <w:p>
            <w:pPr>
              <w:spacing w:after="0"/>
              <w:rPr>
                <w:sz w:val="1"/>
                <w:szCs w:val="1"/>
                <w:color w:val="auto"/>
              </w:rPr>
            </w:pPr>
          </w:p>
        </w:tc>
      </w:tr>
      <w:tr>
        <w:trPr>
          <w:trHeight w:val="387"/>
        </w:trPr>
        <w:tc>
          <w:tcPr>
            <w:tcW w:w="35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Trustee</w:t>
            </w: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0" w:type="dxa"/>
            <w:vAlign w:val="bottom"/>
          </w:tcPr>
          <w:p>
            <w:pPr>
              <w:spacing w:after="0"/>
              <w:rPr>
                <w:sz w:val="1"/>
                <w:szCs w:val="1"/>
                <w:color w:val="auto"/>
              </w:rPr>
            </w:pPr>
          </w:p>
        </w:tc>
      </w:tr>
      <w:tr>
        <w:trPr>
          <w:trHeight w:val="577"/>
        </w:trPr>
        <w:tc>
          <w:tcPr>
            <w:tcW w:w="3560" w:type="dxa"/>
            <w:vAlign w:val="bottom"/>
            <w:tcBorders>
              <w:left w:val="single" w:sz="8" w:color="auto"/>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Your investment in our Series M senior notes involves certain risks. In consultation with your own financial and legal advisers, you should carefully consider, among other matters, the factors set forth below as well as the risk factors discussed in the accompanying prospectus, our Annual Report on Form 10-K for the year ended December 31, 2024 and any subsequently filed periodic reports which are incorporated by reference into this prospectus supplement and the accompanying prospectus, before deciding whether an investment in our Series M senior notes is suitable for you.</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Series M senior notes are effectively subordinated to our secured debt and to the liabilities of our subsidiaries.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Series M senior notes will be our senior unsecured obligations and will rank equally in right of payment with all of our other senior unsecured indebtedness, which currently includes our Existing Senior Notes and indebtedness under our Credit Facility. However, the Series M senior notes will be effectively subordinated to all of our existing and future secured indebtedness, to the extent of the value of the collateral securing such indebtedness. The Indenture governing the Series M senior notes places limitations on our ability to incur secured indebtedness but does not prohibit us from incurring secured indebtedness in the future. Consequently, in the event of a bankruptcy, liquidation, dissolution, reorganization or similar proceeding with respect to us, the holders of any secured indebtedness will be entitled to proceed directly against the collateral that secures such indebtedness. Therefore, such collateral will not be available for satisfaction of any amounts owed under our unsecured indebtedness, including the Series M senior notes, until such secured indebtedness is satisfied in full.</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Series M senior notes will also be effectively subordinated to all existing and future unsecured and secured liabilities of our subsidiaries. Therefore, holders of our debt, including the Series M senior notes, will be subject to the prior claims of each of such subsidiary’s creditors, including trade creditors. As of March 31, 2025, our subsidiaries had outstanding approximately $88 million of cash liabilities and future obligations under operating leases of approximately $559 million that are effectively senior to the Series M senior notes offered hereby.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debt place restrictions on us and on our subsidiaries, reducing our operational flexibility and creating default risks.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Indenture governing the Series M senior notes contains covenants that place restrictions on us and on our subsidiaries, and will, among other things, restrict our ability and the ability of our subsidiaries to:</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secured and unsecured indebtedness without satisfying certain financial metrics;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acquisitions, mergers or consolidations unless the successor entity in such transaction assumes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listed covenants, certain covenants in our Credit Facility place restrictions on our ability and the ability of our subsidiaries to:</w:t>
      </w:r>
    </w:p>
    <w:p>
      <w:pPr>
        <w:spacing w:after="0" w:line="171" w:lineRule="exact"/>
        <w:rPr>
          <w:sz w:val="20"/>
          <w:szCs w:val="20"/>
          <w:color w:val="auto"/>
        </w:rPr>
      </w:pPr>
    </w:p>
    <w:p>
      <w:pPr>
        <w:ind w:left="660" w:right="4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or stock repurchases, acquisitions, dispositions or incur secured or unsecured debt, in each case without satisfying certain financial metrics;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transactions with affiliates other than on an arm’s-length basis.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certain covenants in our Credit Facility require us and our subsidiaries to meet financial performance tests. The restrictive covenants in our Indenture, our Credit Facility and the documents governing our other debt (including any future mortgage debt) will reduce our flexibility in conducting our operations and will limit our ability to engage in activities that may be in our long-term best interest. Failure to comply with these restrictive covenants could result in an event of default that, if not cured or waived, could result in the acceleration of all or a substantial portion of our debt. For a detailed description of the covenants and restrictions imposed by the documents governing our indebtedness, see “Description of Other Indebtedness” and “Description of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320" w:top="1440" w:right="379" w:bottom="1440" w:gutter="0" w:footer="0" w:header="0"/>
        </w:sectPr>
      </w:pPr>
    </w:p>
    <w:bookmarkStart w:id="12" w:name="page13"/>
    <w:bookmarkEnd w:id="12"/>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the covenants applicable to our Series M senior notes will no longer apply at any time that certain of our existing indebtedness is no longer outstanding or does not otherwise contain comparable restrictions; as a result, if and when these covenants no longer apply, under certain circumstances our Series M senior notes may be effectively subordinated to other senior indebtedness of the Company that we may incur and secure in the future and may not have the benefit of certain subsidiary guarantees after our Credit Facility no longer requires such springing guarantees.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Existing Senior Notes prohibit, and our Series M senior notes will prohibit, us from securing indebtedness under our Credit Facility or the Existing Senior Notes unless effective provision is made to secure our Existing Senior Notes and the Series M senior notes on an equal and ratable basis. In addition, our subsidiaries will be required to guarantee our Existing Senior Notes and our Series M senior notes in the event that they guarantee any of our indebtedness. However, these covenants will no longer apply to our Series K, Series L and Series M senior notes at any time that our Pre-Series K Senior Notes and, in the case of the future guarantees covenant, our Credit Facility, are either no longer outstanding or do not otherwise contain comparable requirements. As a result, in certain cases, in the event we in the future secure other senior indebtedness or provide certain subsidiary guarantees at a time when such covenants no longer apply to our Series K, Series L and Series M senior notes, our Series K, Series L and Series M senior notes would effectively be subordinated to such other indebtedness, to the extent of the value of the collateral securing such indebtedness, and not have the benefit of such subsidiary guarantees. See “Risk Factors—The Series M senior notes are effectively subordinated to our secured debt and to the liabilities of our subsidiaries.” For a more detailed description of the covenants that will no longer apply in the event that our Pre-Series K Senior Notes and Credit Facility are no longer outstanding or do not otherwise contain comparable requirements, see “Description of Other Indebtedness—Senior Notes,” “Description of Series M Senior Notes—Certain Covenants—Limitations on Liens” and “Description of Series M Senior Notes—Certain Covenants—Future Guarantees.”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ratings of the Series M senior notes, our credit ratings or the debt markets could adversely affect the price of the Series M senior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the Series M senior notes depends on many factors, including:</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or the market price for notes issued by, other companies similar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In general, as market interest rates rise, notes bearing interest at a fixed rate generally decline in value. Consequently, if you purchase the Series M senior notes and market interest rates increase, the market value of your Series M senior notes may decline.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credit rating agencies periodically review and update their ratings for the companies that they follow, including us, and we cannot assure you that any rating will not be changed or withdrawn by a rating agency in the future if, in its judgment, circumstances warrant. The credit rating agencies also evaluate our industry as a whole and may change their credit rating for us based on their overall view of our industry. Moreover, such credit ratings are not recommendations to buy, sell or hold the notes or any other securities. If any credit rating agency downgrades our credit ratings or otherwise indicates that its outlook for that rating is negative, it could have a material adverse effect on the market price of the Series M senior notes and our costs and availability of capital, which could in turn have a material adverse effect on our financial condition, liquidity and results of operations and our ability to satisfy our debt service obligations (including payments on the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Series M senior notes or a future guarantee thereof may be deemed a fraudulent transfer.</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obligations under the Series M senior notes may be subject to review under federal bankruptcy laws and comparable provisions of state fraudulent transfer laws in the event of our bankruptcy or other financial difficulty. Our Series M senior notes could be voided or claims under the Series M senior notes could be subordinated to all our other debts if, among other things, we, at the time we incurred the indebtedness:</w:t>
      </w:r>
    </w:p>
    <w:p>
      <w:pPr>
        <w:spacing w:after="0" w:line="122"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fair consideration for the incurrence of such indebtedness;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insolvent or rendered insolvent by reason of such incurrence;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engaged in a business or transaction for which our remaining assets constituted unreasonably small capital;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we would incur, debts beyond our ability to pay such debts as they mature.</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Although the Series M senior notes are not guaranteed by any of our direct or indirect subsidiaries, pursuant to the terms of the Indenture governing the Series M senior notes, a guarantee of our indebtedness by any of our subsidiaries in the future would, under certain circumstances, trigger the requirement that the Series M senior notes be guaranteed on a pro rata basis. The guarantees under the Series M senior notes may be subject to review under the same laws as the Series M senior notes in the event of a guarantor’s bankruptcy or other financial difficulty. In that event, if a court were to find that when the guarantee was issued by such guarantor, the factors in clauses (1) and (2) above applied to such guarantor, or that the guarantee was issued with actual intent to hinder, delay or defraud creditors, the court could cause any payment by that guarantor pursuant to its guarantee to be voided and returned to the guarantor, or to a fund for the benefit of the creditors of the guarantor. In such event, the Series M senior notes would be structurally subordinated to the indebtedness and other liabilities of such subsidiary.</w:t>
      </w:r>
    </w:p>
    <w:p>
      <w:pPr>
        <w:spacing w:after="0" w:line="13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these fraudulent transfer laws will vary depending upon the law applied in any proceeding to determine whether a fraudulent transfer has occurred. Generally, however, Host L.P. or a guarantor would be considered insolvent if:</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were greater than the fair saleable value of all of its assets; or</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value of its assets were less than the amount that would be required to pay its probable liability on its existing debts, including contingent liabilities, as they become absolute and mature;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can offer no assurance as to what standard a court would apply in making such determinations or that a court would agree with our conclusions in this regard.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established trading market for the Series M senior notes and there may be limited trading of the Series M senior notes.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 trading market. We do not intend to have the Series M senior notes listed on any securities exchange or to arrange for quotation on any automated dealer quotation systems. We have been informed by the underwriters that they intend to make a market in the Series M senior notes after this offering is completed. However, the underwriters are not obligated to do so and may cease their market-making at any time without notice. The liquidity of the trading market in the Series M senior notes and the market price quoted for the Series M senior notes may be adversely affected by:</w:t>
      </w:r>
    </w:p>
    <w:p>
      <w:pPr>
        <w:spacing w:after="0" w:line="1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market for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00"/>
          </w:cols>
          <w:pgMar w:left="320" w:top="1440" w:right="379" w:bottom="1440" w:gutter="0" w:footer="0" w:header="0"/>
        </w:sectPr>
      </w:pPr>
    </w:p>
    <w:bookmarkStart w:id="14" w:name="page15"/>
    <w:bookmarkEnd w:id="14"/>
    <w:p>
      <w:pPr>
        <w:spacing w:after="0" w:line="14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performance or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prospects for companies in our industry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Series M senior notes;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Series M senior notes;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 of our indebtedness, including the Series M senior notes.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we cannot assure you that an active trading market will develop for the Series M senior notes. If there is limited trading of the Series M senior notes, this may adversely affect the price at which you can sell your Series M senior notes and your ability to sell at the time you want to sell.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substantially more debt. This could further exacerbate the risks to our financial condition described above.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our subsidiaries may incur significant additional indebtedness (which may be secured) in the future, and the Series M senior notes would be structurally subordinated to any indebtedness incurred by our subsidiaries and effectively subordinated to any such secured indebtedness. Although the Credit Facility imposes certain financial covenants and in certain circumstances, the Indenture governing our Existing Senior Notes and the Series M senior notes limits our ability to incur additional indebtedness, these restrictions are subject to a number of qualifications and exceptions, and the additional indebtedness incurred in compliance with these restrictions could be substantial. We continually evaluate market conditions and may take advantage of the opportunity to issue additional indebtedness, including in the form of additional debt securities, in the near future or at later times, the use of proceeds of which may include repaying certain of our outstanding indebtedness. The holders of our debt that ranks equally with the Series M senior notes will be entitled to share ratably with you in any proceeds distributed in connection with any insolvency, liquidation, reorganization, dissolution or other winding up of our company, and any holders of our secured debt, if any, will rank effectively senior in right of payment with the Series M senior notes to the extent of the value of the assets securing such indebtedness in connection with any insolvency, liquidation, reorganization, dissolution or other winding up of our company. This may have the effect of reducing the amount of proceeds paid to you. These restrictions also will not prevent us from incurring obligations that do not constitute indebtedness. If new debt is added to our current debt levels, the related risks that we now face could intensify. See “Description of Other Indebtedness” and “Description of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ectPr>
          <w:pgSz w:w="11900" w:h="16838" w:orient="portrait"/>
          <w:cols w:equalWidth="0" w:num="1">
            <w:col w:w="11120"/>
          </w:cols>
          <w:pgMar w:left="320" w:top="1440" w:right="459" w:bottom="1440" w:gutter="0" w:footer="0" w:header="0"/>
        </w:sectPr>
      </w:pP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estimate the net proceeds from the sale of the Series M senior notes will be approximately $ fees and expenses payable by us.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after deducting the underwriting discount,</w:t>
      </w:r>
    </w:p>
    <w:p>
      <w:pPr>
        <w:spacing w:after="0" w:line="398" w:lineRule="exact"/>
        <w:rPr>
          <w:sz w:val="20"/>
          <w:szCs w:val="20"/>
          <w:color w:val="auto"/>
        </w:rPr>
      </w:pPr>
    </w:p>
    <w:p>
      <w:pPr>
        <w:sectPr>
          <w:pgSz w:w="11900" w:h="16838" w:orient="portrait"/>
          <w:cols w:equalWidth="0" w:num="2">
            <w:col w:w="6900" w:space="460"/>
            <w:col w:w="3760"/>
          </w:cols>
          <w:pgMar w:left="320" w:top="1440" w:right="459" w:bottom="1440" w:gutter="0" w:footer="0" w:header="0"/>
          <w:type w:val="continuous"/>
        </w:sectPr>
      </w:pPr>
    </w:p>
    <w:p>
      <w:pPr>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sale of the Series M senior notes, together with cash on hand depending on the principal amount of Series M senior notes offered hereby, to redeem all of the outstanding $500 million aggregate principal amount of our Series E senior notes at an aggregate redemption price of $500 million, not including accrued interest. The Series E senior notes bear interest at a rate of 4.00% per annum and are scheduled to mature on June 15, 2025. The remaining net proceeds, if any, will be used for general corporate purposes.</w:t>
      </w:r>
    </w:p>
    <w:p>
      <w:pPr>
        <w:spacing w:after="0" w:line="12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Certain of the underwriters or their affiliates may hold our Series E senior notes and, as a result of the redemption thereof as set forth under the heading “Use of Proceeds” in this prospectus supplement, may receive a portion of the net proceeds from this offering. See “Underwriting—Other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1440" w:right="459" w:bottom="1440" w:gutter="0" w:footer="0" w:header="0"/>
          <w:type w:val="continuous"/>
        </w:sectPr>
      </w:pPr>
    </w:p>
    <w:bookmarkStart w:id="16" w:name="page17"/>
    <w:bookmarkEnd w:id="1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2025, on an actual basis and on an as adjusted basis to give</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 to the estimated $ million of net proceeds from this offering and the redemption of all of the outstanding $500 million aggregate principal amount of our Series E senior notes at an aggregate redemption price of $500 million, not including accrued interest, together with cash on hand depending on the principal amount of Series M senior notes offered hereby.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3"/>
        </w:trPr>
        <w:tc>
          <w:tcPr>
            <w:tcW w:w="29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29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196"/>
        </w:trPr>
        <w:tc>
          <w:tcPr>
            <w:tcW w:w="29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gridSpan w:val="3"/>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7"/>
                <w:szCs w:val="17"/>
                <w:color w:val="auto"/>
              </w:rPr>
            </w:pPr>
          </w:p>
        </w:tc>
      </w:tr>
      <w:tr>
        <w:trPr>
          <w:trHeight w:val="256"/>
        </w:trPr>
        <w:tc>
          <w:tcPr>
            <w:tcW w:w="2940" w:type="dxa"/>
            <w:vAlign w:val="bottom"/>
            <w:tcBorders>
              <w:bottom w:val="single" w:sz="8" w:color="CCEEFF"/>
            </w:tcBorders>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50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r>
      <w:tr>
        <w:trPr>
          <w:trHeight w:val="20"/>
        </w:trPr>
        <w:tc>
          <w:tcPr>
            <w:tcW w:w="90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80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 Series E senior notes due June 2025</w:t>
            </w:r>
            <w:r>
              <w:rPr>
                <w:rFonts w:ascii="Times New Roman" w:cs="Times New Roman" w:eastAsia="Times New Roman" w:hAnsi="Times New Roman"/>
                <w:sz w:val="23"/>
                <w:szCs w:val="23"/>
                <w:color w:val="auto"/>
                <w:vertAlign w:val="superscript"/>
              </w:rPr>
              <w:t>(2)</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 Series F senior notes due February 2026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3.375% Series H senior notes due December 2029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 Series I senior notes due September 2030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2.9% Series J senior notes due December 2031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 Series K senior notes due July 2034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5.5% Series L senior notes due April 2035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2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Series M senior notes due</w:t>
            </w:r>
          </w:p>
        </w:tc>
        <w:tc>
          <w:tcPr>
            <w:tcW w:w="6060" w:type="dxa"/>
            <w:vAlign w:val="bottom"/>
            <w:gridSpan w:val="2"/>
            <w:shd w:val="clear" w:color="auto" w:fill="CCEEFF"/>
          </w:tcPr>
          <w:p>
            <w:pPr>
              <w:jc w:val="right"/>
              <w:ind w:right="4719"/>
              <w:spacing w:after="0" w:line="230" w:lineRule="exact"/>
              <w:rPr>
                <w:sz w:val="20"/>
                <w:szCs w:val="20"/>
                <w:color w:val="auto"/>
              </w:rPr>
            </w:pPr>
            <w:r>
              <w:rPr>
                <w:rFonts w:ascii="Times New Roman" w:cs="Times New Roman" w:eastAsia="Times New Roman" w:hAnsi="Times New Roman"/>
                <w:sz w:val="18"/>
                <w:szCs w:val="18"/>
                <w:color w:val="auto"/>
              </w:rPr>
              <w:t>offered hereby</w:t>
            </w:r>
            <w:r>
              <w:rPr>
                <w:rFonts w:ascii="Times New Roman" w:cs="Times New Roman" w:eastAsia="Times New Roman" w:hAnsi="Times New Roman"/>
                <w:sz w:val="23"/>
                <w:szCs w:val="23"/>
                <w:color w:val="auto"/>
                <w:vertAlign w:val="superscript"/>
              </w:rPr>
              <w:t>(3)</w:t>
            </w: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senior notes</w:t>
            </w:r>
          </w:p>
        </w:tc>
        <w:tc>
          <w:tcPr>
            <w:tcW w:w="50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revolver</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50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9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3"/>
                <w:szCs w:val="23"/>
                <w:color w:val="auto"/>
                <w:vertAlign w:val="superscript"/>
              </w:rPr>
              <w:t>(4)</w:t>
            </w:r>
          </w:p>
        </w:tc>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partnership interest of third parties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Host L.P. capital:</w:t>
            </w:r>
          </w:p>
        </w:tc>
        <w:tc>
          <w:tcPr>
            <w:tcW w:w="5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partner</w:t>
            </w:r>
          </w:p>
        </w:tc>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0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of Host L.P. capital</w:t>
            </w:r>
          </w:p>
        </w:tc>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30"/>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consolidated partnerships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capital</w:t>
            </w:r>
          </w:p>
        </w:tc>
        <w:tc>
          <w:tcPr>
            <w:tcW w:w="50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5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As adjusted cash and cash equivalents reflects the following:</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62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428</w:t>
            </w:r>
          </w:p>
        </w:tc>
      </w:tr>
      <w:tr>
        <w:trPr>
          <w:trHeight w:val="195"/>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M senior notes offered hereby</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payment on April 15, 2025</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(139)</w:t>
            </w:r>
          </w:p>
        </w:tc>
      </w:tr>
      <w:tr>
        <w:trPr>
          <w:trHeight w:val="196"/>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Redemption of Series E senior notes, including accrued interest of approximately $10 million</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color w:val="auto"/>
              </w:rPr>
              <w:t>(510)</w:t>
            </w:r>
          </w:p>
        </w:tc>
      </w:tr>
      <w:tr>
        <w:trPr>
          <w:trHeight w:val="228"/>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adjusted balance at March 31, 2025</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redemption of $500 million of our Series E senior notes in connection with this offering. The cash payment reflects the $500 million of the principal redeemed and accrued</w:t>
      </w:r>
    </w:p>
    <w:p>
      <w:pPr>
        <w:sectPr>
          <w:pgSz w:w="11900" w:h="16838" w:orient="portrait"/>
          <w:cols w:equalWidth="0" w:num="1">
            <w:col w:w="11240"/>
          </w:cols>
          <w:pgMar w:left="320" w:top="1440" w:right="3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of approximately $10 million.</w:t>
      </w:r>
    </w:p>
    <w:p>
      <w:pPr>
        <w:spacing w:after="0" w:line="27" w:lineRule="exact"/>
        <w:rPr>
          <w:sz w:val="20"/>
          <w:szCs w:val="20"/>
          <w:color w:val="auto"/>
        </w:rPr>
      </w:pPr>
    </w:p>
    <w:p>
      <w:pPr>
        <w:spacing w:after="0"/>
        <w:tabs>
          <w:tab w:leader="none" w:pos="2000" w:val="left"/>
          <w:tab w:leader="none" w:pos="2740" w:val="left"/>
          <w:tab w:leader="none" w:pos="4740" w:val="left"/>
          <w:tab w:leader="none" w:pos="7940" w:val="left"/>
        </w:tabs>
        <w:rPr>
          <w:sz w:val="20"/>
          <w:szCs w:val="20"/>
          <w:color w:val="auto"/>
        </w:rPr>
      </w:pPr>
      <w:r>
        <w:rPr>
          <w:rFonts w:ascii="Times New Roman" w:cs="Times New Roman" w:eastAsia="Times New Roman" w:hAnsi="Times New Roman"/>
          <w:sz w:val="14"/>
          <w:szCs w:val="14"/>
          <w:color w:val="auto"/>
        </w:rPr>
        <w:t>Reflects the issuance of $</w:t>
      </w:r>
      <w:r>
        <w:rPr>
          <w:sz w:val="20"/>
          <w:szCs w:val="20"/>
          <w:color w:val="auto"/>
        </w:rPr>
        <w:tab/>
      </w:r>
      <w:r>
        <w:rPr>
          <w:rFonts w:ascii="Times New Roman" w:cs="Times New Roman" w:eastAsia="Times New Roman" w:hAnsi="Times New Roman"/>
          <w:sz w:val="14"/>
          <w:szCs w:val="14"/>
          <w:color w:val="auto"/>
        </w:rPr>
        <w:t>million of</w:t>
        <w:tab/>
        <w:t>% Series M senior notes due</w:t>
      </w:r>
      <w:r>
        <w:rPr>
          <w:sz w:val="20"/>
          <w:szCs w:val="20"/>
          <w:color w:val="auto"/>
        </w:rPr>
        <w:tab/>
      </w:r>
      <w:r>
        <w:rPr>
          <w:rFonts w:ascii="Times New Roman" w:cs="Times New Roman" w:eastAsia="Times New Roman" w:hAnsi="Times New Roman"/>
          <w:sz w:val="14"/>
          <w:szCs w:val="14"/>
          <w:color w:val="auto"/>
        </w:rPr>
        <w:t>offered hereby. The cash proceeds are net of $</w:t>
      </w:r>
      <w:r>
        <w:rPr>
          <w:sz w:val="20"/>
          <w:szCs w:val="20"/>
          <w:color w:val="auto"/>
        </w:rPr>
        <w:tab/>
      </w:r>
      <w:r>
        <w:rPr>
          <w:rFonts w:ascii="Times New Roman" w:cs="Times New Roman" w:eastAsia="Times New Roman" w:hAnsi="Times New Roman"/>
          <w:sz w:val="14"/>
          <w:szCs w:val="14"/>
          <w:color w:val="auto"/>
        </w:rPr>
        <w:t>million of expected offering expenses, including</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underwriting discount and other offering expenses.</w:t>
      </w:r>
    </w:p>
    <w:p>
      <w:pPr>
        <w:spacing w:after="0" w:line="15" w:lineRule="exact"/>
        <w:rPr>
          <w:sz w:val="20"/>
          <w:szCs w:val="20"/>
          <w:color w:val="auto"/>
        </w:rPr>
      </w:pPr>
    </w:p>
    <w:p>
      <w:pPr>
        <w:sectPr>
          <w:pgSz w:w="11900" w:h="16838" w:orient="portrait"/>
          <w:cols w:equalWidth="0" w:num="2">
            <w:col w:w="180" w:space="140"/>
            <w:col w:w="10920"/>
          </w:cols>
          <w:pgMar w:left="320" w:top="1440" w:right="339" w:bottom="1440" w:gutter="0" w:footer="0" w:header="0"/>
          <w:type w:val="continuous"/>
        </w:sectPr>
      </w:pPr>
    </w:p>
    <w:p>
      <w:pPr>
        <w:ind w:left="340" w:right="460" w:hanging="332"/>
        <w:spacing w:after="0" w:line="263"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debt excludes approximately $559 million of operating lease liabilities, $34 million due to managers, other liabilities of $222 million, and $261 million of accounts payable and accrued expenses, which was reduced to $116 million of accounts payable and accrued expenses following the transactions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4, 2023, we entered into the sixth amended and restated senior revolving credit and term loan facility, with Bank of America, N.A., as administrative agent, and certain other agents and lenders (the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The Credit Facility allows for revolver borrowings in an aggregate principal amount of up to $1.5 billion and a term loan facility of $1 billion (which is fully utilized). The Credit Facility also provides, among other things, for:</w:t>
      </w:r>
    </w:p>
    <w:p>
      <w:pPr>
        <w:spacing w:after="0" w:line="126" w:lineRule="exact"/>
        <w:rPr>
          <w:sz w:val="20"/>
          <w:szCs w:val="20"/>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interest rate on all U.S. dollar borrowings based on SOFR (plus a credit spread adjustment of 10 basis points) or a base rate plus, in each case, a margin that varies according to our unsecured long-term debt rating, with such margin being (1) in the case of revolver borrowings, a margin ranging from 72.5 to 140 basis points for SOFR borrowings or from zero to 40 basis points for base rate borrowings and (2) in the case of the term loan borrowings, a margin ranging from 80 to 160 basis points for SOFR borrowings or from zero to 60 basis points for base rate borrowings;</w:t>
      </w:r>
    </w:p>
    <w:p>
      <w:pPr>
        <w:spacing w:after="0" w:line="110"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revolver portion of our Credit Facility, a facility fee payable on the total amount of the revolving credit facility commitment at a rate ranging from 12.5 to 30 basis points, with the actual rate determined according to our unsecured long-term debt rating;</w:t>
      </w:r>
    </w:p>
    <w:p>
      <w:pPr>
        <w:spacing w:after="0" w:line="107"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sustainability pricing adjustment that (1) in the case of borrowings under the revolver portion of our Credit Facility, can result in an increase or decrease of the interest rate applicable to revolving loans of up to 4 basis points and an increase or decrease of the facility fee of up to 1.0 basis point and (2) in the case of the term loan borrowings, can result in an increase or decrease of the interest rate applicable to term loans of up to 5 basis points, in each case, with the amount of such adjustment to be determined annually on the basis of an annual audited report of Host L.P.’s performance against targets established in the Credit Facility for (i) the percentage of our consolidated portfolio with green building certifications and (ii) the percentage of electricity used at all our consolidated properties that is generated by renewable resources;</w:t>
      </w:r>
    </w:p>
    <w:p>
      <w:pPr>
        <w:spacing w:after="0" w:line="133"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maturity date of (1) in the case of the revolver portion of our Credit Facility, January 4, 2027, which date may be extended by up to a year by the exercise of either (i) a 1-year extension option or (ii) up to two 6-month extension options, in each case, subject to certain customary conditions, including the payment of an extension fee; (2) in the case of one term loan tranche, January 4, 2027, which date may be extended up to a year by the exercise of one 1-year extension option, which is subject to certain customary conditions, including the payment of an extension fee; and (3) in the case of the second term loan tranche, January 4, 2028, which date may not be extended;</w:t>
      </w:r>
    </w:p>
    <w:p>
      <w:pPr>
        <w:spacing w:after="0" w:line="12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subfacility for Canadian dollars, Australian dollars, Euros, British pounds sterling and, if available to the lenders, Mexican pesos of up to the foreign currency equivalent of $500 million, subject to a lower amount in the case of Mexican pesos borrowings;</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for Host L.P. to add in the future $500 million of commitments which may be used for additional borrowings under the revolver portion of our Credit Facility and/or term loans, subject to obtaining additional loan commitments (which we have not currently obtained) and the satisfaction of certain conditions specified in the Credit Facility;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subfacility of up to $100 million for swingline borrowings and a subfacility of up to $100 million for issuances of letters of credit;</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required scheduled amortization payments prior to the maturity date of the revolver portion of our Credit Facility or either term loan tranche;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 (including covenants concerning leverage, fixed charge coverage and unsecured interest coverage), including that (1) our fixed charge coverage ratio may not be less than 1.25:1.00; (2)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leverage ratio may not exceed 7.25:1.00 and (3) our unsecured interest coverage ratio may not be less than (x) 1.75:1.00 if our leverage ratio is less than 7.00:1.00 or (y) 1.50:1.00 if our leverage ratio is equal to or greater than 7.00:1.00. The calculations for these financial covenants are performed based on pro forma results for the prior four fiscal quarters, giving effect to transactions such as acquisitions, dispositions and financings as if they had occurred at the beginning of the period. Under the terms of the Credit Facility, interest expense excludes items such as the gains and losses on the extinguishment of debt, deferred financing charges related to the Existing Senior Notes or the Credit Facility and non-cash interest expense, all of which are included in interest expense on our consolidated statements of operations. Additionally, total debt used in the calculation of our leverage ratio is based on a “net debt” concept, under which cash and cash equivalents in excess of $100 million are deducted from our total debt balance.</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may be used for working capital, repayment of debt and other general corporate purposes, including for the consummation of acquisitions. As of March 31, 2025, we had $1.5 billion of available capacity under the revolver portion of the Credit Facility, along with the $1.0 billion in term loans outstanding.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r>
        <w:rPr>
          <w:rFonts w:ascii="Times New Roman" w:cs="Times New Roman" w:eastAsia="Times New Roman" w:hAnsi="Times New Roman"/>
          <w:sz w:val="18"/>
          <w:szCs w:val="18"/>
          <w:color w:val="auto"/>
        </w:rPr>
        <w:t>. Voluntary prepayments of the loans under the Credit Facility are permitted in whole or in part without premium or penalty.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following table summarizes the results of the financial tests required by the Credit Facility and our actual credit ratios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 Requirement</w:t>
            </w:r>
          </w:p>
        </w:tc>
      </w:tr>
      <w:tr>
        <w:trPr>
          <w:trHeight w:val="23"/>
        </w:trPr>
        <w:tc>
          <w:tcPr>
            <w:tcW w:w="7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2.8x</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Maximum ratio of 7.25x</w:t>
            </w:r>
          </w:p>
        </w:tc>
      </w:tr>
      <w:tr>
        <w:trPr>
          <w:trHeight w:val="229"/>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5.5x</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Minimum ratio of 1.25x</w:t>
            </w:r>
          </w:p>
        </w:tc>
      </w:tr>
      <w:tr>
        <w:trPr>
          <w:trHeight w:val="230"/>
        </w:trPr>
        <w:tc>
          <w:tcPr>
            <w:tcW w:w="8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Unsecured interest coverage ratio</w:t>
            </w:r>
            <w:r>
              <w:rPr>
                <w:rFonts w:ascii="Times New Roman" w:cs="Times New Roman" w:eastAsia="Times New Roman" w:hAnsi="Times New Roman"/>
                <w:sz w:val="23"/>
                <w:szCs w:val="23"/>
                <w:color w:val="auto"/>
                <w:vertAlign w:val="superscript"/>
              </w:rPr>
              <w:t>(a)</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7.1x</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Minimum ratio of 1.75x</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our leverage ratio is above 7.0x, our minimum unsecured interest coverage ratio requirement will decrease to 1.50x.</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Other Covenants and Events of Default</w:t>
      </w:r>
      <w:r>
        <w:rPr>
          <w:rFonts w:ascii="Times New Roman" w:cs="Times New Roman" w:eastAsia="Times New Roman" w:hAnsi="Times New Roman"/>
          <w:sz w:val="18"/>
          <w:szCs w:val="18"/>
          <w:color w:val="auto"/>
        </w:rPr>
        <w:t>. The Credit Facility imposes restrictions on customary matters. Certain covenants are less restrictive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leverage ratio is below 6.0x. At any time that our leverage ratio is below 6.0x, acquisitions, investments, dividends and distributions generally are permitted except where they would result in a breach of the financial covenants, calculated on a pro forma basis. The Credit Facility also includes financial covenant tests applicable to the incurrence of debt generally that are consistent with the limitations applicable under our senior notes indenture (as described below).</w:t>
      </w:r>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Credit Facility also includes usual and customary events of default for facilities of this nature, and provides that, upon the occurrence and continuance of an event of default, payment of all amounts due under the Credit Facility may be accelerated and the lenders’ commitments may be terminated. In addition, upon the occurrence of certain insolvency or bankruptcy related events of default, all amounts due under the Credit Facility will automatically become due and payable and the lenders’ commitments will automatically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had the following series of Existing Senior Notes outstanding: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195"/>
        </w:trPr>
        <w:tc>
          <w:tcPr>
            <w:tcW w:w="420" w:type="dxa"/>
            <w:vAlign w:val="bottom"/>
            <w:tcBorders>
              <w:bottom w:val="single" w:sz="8" w:color="CCEEFF"/>
            </w:tcBorders>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8"/>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Series E senior notes due June 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 senior notes due February 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Series H senior notes due December 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I senior notes due September 2030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J senior notes due December 2031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K senior notes due July 2034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L senior notes due April 2035</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96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1"/>
        </w:trPr>
        <w:tc>
          <w:tcPr>
            <w:tcW w:w="4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78"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face value of the total Existing Senior Notes outstanding, not including the unamortized portion of original issue discounts and deferred financing costs of approximately $55 million, is $4.1 billion as of March 31, 2025.</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following summary is a description of the material provisions of the Indenture and the related supplemental indentures governing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Senior Notes, which we refer to collectively as the “senior notes indenture.” We pay interest on each series of our Existing Senior Notes semi-annually in arrears at the respective annual rates indicated on the table above. Under the terms of our senior notes indenture, our Existing Senior Notes are equal in right of payment with all of our senior unsecured indebtedness and senior to all of our subordinated obligations.</w:t>
      </w:r>
    </w:p>
    <w:p>
      <w:pPr>
        <w:spacing w:after="0" w:line="1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Currently there are no guarantees provided with respect to the Existing Senior Notes, but we have agreed under the senior notes indenture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Host L.P. subsidiaries which guarantee other Host L.P. debt are required to similarly provide guarantees with respect to the Existing Senior Notes. In the event that the guarantees of other indebtedness are released, under the terms of the senior notes indenture, such guarantees will also be released under the Existing Senior Notes without the consent of the holders of the Existing Senior Notes. However, this covenant will no longer apply to the Series K, Series L and Series M senior notes at any time following the elimination of the future guarantees covenant from our Pre-Series K Senior Notes (including upon redemption or repayment in full) and from the Credit Facility. See “Description of Series M Senior Notes.”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for Senior Notes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Existing Senior Notes have covenants customary for investment grade debt, substantially the same as the covenants for the Series M senior notes offered hereby, other than (i) the ability to incur permitted Refinancing Indebtedness (as defined herein) under our debt incurrence covenants, which is permitted only under the debt incurrence covenants for the Series J, Series K, Series L and Series M senior notes, (ii) our Series I and Series J senior notes are both subject to certain interest rate adjustments based on certain ratings events, and (iii) certain of the covenants applicable to our Existing Senior Notes relating to liens and subsidiary guarantees (as noted above under “—Guarantees”) will no longer apply to our Series K, Series L and Series M senior notes at any time following the elimination of such covenants from our Pre-Series K Senior Notes (including upon redemption or repayment in full) and, in the case of the future guarantees covenant, from our Credit Facility. See “Description of Series M Senior Notes.”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terms of the Existing Senior Notes, Host L.P.’s ability to incur indebtedness is subject to restrictions and the satisfaction of various conditions, including the achievement of an EBITDA-to-interest coverage ratio of at least 1.5x by Host L.P. As calculated, this ratio excludes from interest expense items such as call premiums and deferred financing charges that are included in interest expense on Host L.P.’s consolidated statements of operations. In addition, the calculation is based on Host L.P.’s pro forma results for the four prior fiscal quarters, giving effect to certain transactions, such as acquisitions, dispositions and financings, as if they had occurred at the beginning of the period. Other covenants limiting Host L.P.’s ability to incur indebtedness include maintaining total indebtedness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less than 65% of adjusted total assets (using undepreciated real estate book values) and maintaining secured indebtedness of less than 40% of adjusted total assets (using undepreciated real estate book values). So long as Host L.P. maintains the required level of interest coverage and satisfies these and other conditions in the senior notes indenture, it may incur additional debt. In addition, Host L.P. must at all times maintain total unencumbered assets of at least 150% of the aggregate principal amount of outstanding unsecured indebtedness of Host L.P. and its subsidiaries.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actual credit ratios calculated pursuant to the indenture financial tests for our Existing Senior Notes as of March 31, 2025:</w:t>
      </w:r>
    </w:p>
    <w:p>
      <w:pPr>
        <w:sectPr>
          <w:pgSz w:w="11900" w:h="16838" w:orient="portrait"/>
          <w:cols w:equalWidth="0" w:num="1">
            <w:col w:w="11220"/>
          </w:cols>
          <w:pgMar w:left="320" w:top="1440" w:right="359" w:bottom="1440" w:gutter="0" w:footer="0" w:header="0"/>
        </w:sect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Unencumbered assets to total unsecured indebtedness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indebtedness to adjusted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Secured indebtedness to adjusted total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EBITDA-to-interest coverage ratio</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Actual Ratio</w:t>
      </w:r>
      <w:r>
        <w:rPr>
          <w:sz w:val="20"/>
          <w:szCs w:val="20"/>
          <w:color w:val="auto"/>
        </w:rPr>
        <w:tab/>
      </w:r>
      <w:r>
        <w:rPr>
          <w:rFonts w:ascii="Times New Roman" w:cs="Times New Roman" w:eastAsia="Times New Roman" w:hAnsi="Times New Roman"/>
          <w:sz w:val="14"/>
          <w:szCs w:val="14"/>
          <w:b w:val="1"/>
          <w:bCs w:val="1"/>
          <w:color w:val="auto"/>
        </w:rPr>
        <w:t>Covenant Requirement</w:t>
      </w:r>
    </w:p>
    <w:p>
      <w:pPr>
        <w:spacing w:after="0" w:line="6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439 %</w:t>
      </w:r>
      <w:r>
        <w:rPr>
          <w:sz w:val="20"/>
          <w:szCs w:val="20"/>
          <w:color w:val="auto"/>
        </w:rPr>
        <w:tab/>
      </w:r>
      <w:r>
        <w:rPr>
          <w:rFonts w:ascii="Times New Roman" w:cs="Times New Roman" w:eastAsia="Times New Roman" w:hAnsi="Times New Roman"/>
          <w:sz w:val="17"/>
          <w:szCs w:val="17"/>
          <w:color w:val="auto"/>
        </w:rPr>
        <w:t>Minimum ratio of 150%</w:t>
      </w:r>
    </w:p>
    <w:p>
      <w:pPr>
        <w:spacing w:after="0" w:line="27"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23 %</w:t>
        <w:tab/>
        <w:t>Maximum ratio of 65%</w:t>
      </w:r>
    </w:p>
    <w:p>
      <w:pPr>
        <w:spacing w:after="0" w:line="23" w:lineRule="exact"/>
        <w:rPr>
          <w:sz w:val="20"/>
          <w:szCs w:val="20"/>
          <w:color w:val="auto"/>
        </w:rPr>
      </w:pPr>
    </w:p>
    <w:p>
      <w:pPr>
        <w:ind w:left="880"/>
        <w:spacing w:after="0"/>
        <w:tabs>
          <w:tab w:leader="none" w:pos="1480" w:val="left"/>
        </w:tabs>
        <w:rPr>
          <w:sz w:val="20"/>
          <w:szCs w:val="20"/>
          <w:color w:val="auto"/>
        </w:rPr>
      </w:pPr>
      <w:r>
        <w:rPr>
          <w:rFonts w:ascii="Times New Roman" w:cs="Times New Roman" w:eastAsia="Times New Roman" w:hAnsi="Times New Roman"/>
          <w:sz w:val="18"/>
          <w:szCs w:val="18"/>
          <w:color w:val="auto"/>
        </w:rPr>
        <w:t>&lt;1%</w:t>
        <w:tab/>
        <w:t>Maximum ratio of 40%</w:t>
      </w:r>
    </w:p>
    <w:p>
      <w:pPr>
        <w:spacing w:after="0" w:line="23"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color w:val="auto"/>
        </w:rPr>
        <w:t>7.0x</w:t>
      </w:r>
      <w:r>
        <w:rPr>
          <w:sz w:val="20"/>
          <w:szCs w:val="20"/>
          <w:color w:val="auto"/>
        </w:rPr>
        <w:tab/>
      </w:r>
      <w:r>
        <w:rPr>
          <w:rFonts w:ascii="Times New Roman" w:cs="Times New Roman" w:eastAsia="Times New Roman" w:hAnsi="Times New Roman"/>
          <w:sz w:val="18"/>
          <w:szCs w:val="18"/>
          <w:color w:val="auto"/>
        </w:rPr>
        <w:t>Minimum ratio of 1.5x</w:t>
      </w:r>
    </w:p>
    <w:p>
      <w:pPr>
        <w:spacing w:after="0" w:line="200" w:lineRule="exact"/>
        <w:rPr>
          <w:sz w:val="20"/>
          <w:szCs w:val="20"/>
          <w:color w:val="auto"/>
        </w:rPr>
      </w:pPr>
    </w:p>
    <w:p>
      <w:pPr>
        <w:sectPr>
          <w:pgSz w:w="11900" w:h="16838" w:orient="portrait"/>
          <w:cols w:equalWidth="0" w:num="2">
            <w:col w:w="7160" w:space="720"/>
            <w:col w:w="3340"/>
          </w:cols>
          <w:pgMar w:left="320" w:top="1440" w:right="359" w:bottom="1440" w:gutter="0" w:footer="0" w:header="0"/>
          <w:type w:val="continuous"/>
        </w:sectPr>
      </w:pPr>
    </w:p>
    <w:p>
      <w:pPr>
        <w:spacing w:after="0" w:line="6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were in compliance with all of the financial ratios applicable to our Existing Senior Notes as of March 31, 2025 in order for us to be able to incur additional indebtedness.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restrictions on our ability to pay dividends.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Debt, Including Unconsolidated Joint Ventures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structured our debt profile to maintain a balanced maturity schedule and to minimize the number of assets that are encumbered by mortgage debt. At March 31, 2025, we own one consolidated property that is encumbered by mortgage debt. All of our mortgage debt is recourse solely to specific assets, except in instances of fraud, misapplication of funds and other customary recourse provisions. As of March 31, 2025, our mortgage debt has an interest rate of 4.67% and matures in 2027, with principal and interest payments due monthly. We also own non-controlling interests in joint ventures that are not consolidated and that are accounted for under the equity method. The portion of the mortgage and other debt of these joint ventures attributable to us, based on our ownership percentage thereof, was $282 million at March 31, 2025. The debt of our unconsolidated joint ventures is non-recourse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320" w:top="1440" w:right="359" w:bottom="1440" w:gutter="0" w:footer="0" w:header="0"/>
          <w:type w:val="continuous"/>
        </w:sectPr>
      </w:pPr>
    </w:p>
    <w:bookmarkStart w:id="21" w:name="page22"/>
    <w:bookmarkEnd w:id="2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SERIES M SENIOR NOTES</w:t>
      </w:r>
    </w:p>
    <w:p>
      <w:pPr>
        <w:spacing w:after="0" w:line="17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the Series M senior notes (referred to in the accompanying prospectus as the “</w:t>
      </w: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supplements, and to the extent inconsistent, replaces the description of the general terms and provisions of the debt securities set forth in the accompanying prospectus. For purposes of this section, references to “Host L.P.,” “we,” “our,” or “us” refer only to Host Hotels &amp; Resorts, L.P. and its successors in accordance with the terms of the Indenture (as hereinafter defined) and not to our subsidiaries.</w:t>
      </w:r>
    </w:p>
    <w:p>
      <w:pPr>
        <w:spacing w:after="0" w:line="12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will issue the Series M senior notes pursuant to an indenture, dated as of May 15, 2015, by and between Host Hotels &amp; Resorts, L.P. and The Bank of New York Mellon,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amended or supplemented from time to time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terms of the Indenture include those made part of the Indenture by reference to the Trust Indenture Act of 1939, as amended. The following description is a summary of the material provisions of the Indenture and is not complete. The Indenture has been incorporated by reference as an exhibit to the registration statement, of which this prospectus supplement forms a part. You should read the Indenture for provisions that may be important to you. Capitalized terms used in the summary have the meanings specified in the accompanying prospectus or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7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We will initially issue $</w:t>
      </w:r>
      <w:r>
        <w:rPr>
          <w:sz w:val="20"/>
          <w:szCs w:val="20"/>
          <w:color w:val="auto"/>
        </w:rPr>
        <w:tab/>
      </w:r>
      <w:r>
        <w:rPr>
          <w:rFonts w:ascii="Times New Roman" w:cs="Times New Roman" w:eastAsia="Times New Roman" w:hAnsi="Times New Roman"/>
          <w:sz w:val="17"/>
          <w:szCs w:val="17"/>
          <w:color w:val="auto"/>
        </w:rPr>
        <w:t>million aggregate principal amount of Series M senior notes. The Indenture will provide that, in addition to the</w:t>
      </w:r>
    </w:p>
    <w:p>
      <w:pPr>
        <w:spacing w:after="0" w:line="27" w:lineRule="exact"/>
        <w:rPr>
          <w:sz w:val="20"/>
          <w:szCs w:val="20"/>
          <w:color w:val="auto"/>
        </w:rPr>
      </w:pPr>
    </w:p>
    <w:p>
      <w:pPr>
        <w:ind w:firstLine="8"/>
        <w:spacing w:after="0" w:line="251" w:lineRule="auto"/>
        <w:tabs>
          <w:tab w:leader="none" w:pos="7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aggregate principal amount of Series M senior notes being issued on the Series Issue Date, we may also issue additional Series M senior notes having identical terms and conditions to the Series M senior notes offered hereby from time to time after this offering (the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Any issuance of Additional Notes is subject to compliance with the terms of the Indenture, including the covenant described below under “—Certain Covenants —Limitation on Incurrence of Indebtedness.” The aggregate principal amount of Series M senior notes and Additional Notes will be unlimited in aggregate principal amount outstanding. Any such Additional Notes would be issued on the same terms as the Series M senior notes, would constitute part of the same series of securities as the Series M senior notes and would vote together as one series on all matters with respect to the Series M senior notes (although they may have a different CUSIP number). All references to the Series M senior notes herein include the Additional Notes, except as stated otherwise.</w:t>
      </w:r>
    </w:p>
    <w:p>
      <w:pPr>
        <w:spacing w:after="0" w:line="140" w:lineRule="exact"/>
        <w:rPr>
          <w:sz w:val="20"/>
          <w:szCs w:val="20"/>
          <w:color w:val="auto"/>
        </w:rPr>
      </w:pPr>
    </w:p>
    <w:p>
      <w:pPr>
        <w:spacing w:after="0"/>
        <w:tabs>
          <w:tab w:leader="none" w:pos="3640" w:val="left"/>
          <w:tab w:leader="none" w:pos="4140" w:val="left"/>
          <w:tab w:leader="none" w:pos="9320" w:val="left"/>
        </w:tabs>
        <w:rPr>
          <w:sz w:val="20"/>
          <w:szCs w:val="20"/>
          <w:color w:val="auto"/>
        </w:rPr>
      </w:pPr>
      <w:r>
        <w:rPr>
          <w:rFonts w:ascii="Times New Roman" w:cs="Times New Roman" w:eastAsia="Times New Roman" w:hAnsi="Times New Roman"/>
          <w:sz w:val="18"/>
          <w:szCs w:val="18"/>
          <w:color w:val="auto"/>
        </w:rPr>
        <w:t>The Series M senior notes will mature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Interest on the Series M senior notes will accrue at the rate of</w:t>
      </w:r>
      <w:r>
        <w:rPr>
          <w:sz w:val="20"/>
          <w:szCs w:val="20"/>
          <w:color w:val="auto"/>
        </w:rPr>
        <w:tab/>
      </w:r>
      <w:r>
        <w:rPr>
          <w:rFonts w:ascii="Times New Roman" w:cs="Times New Roman" w:eastAsia="Times New Roman" w:hAnsi="Times New Roman"/>
          <w:sz w:val="17"/>
          <w:szCs w:val="17"/>
          <w:color w:val="auto"/>
        </w:rPr>
        <w:t>% per annum and will be</w:t>
      </w:r>
    </w:p>
    <w:p>
      <w:pPr>
        <w:spacing w:after="0" w:line="27" w:lineRule="exact"/>
        <w:rPr>
          <w:sz w:val="20"/>
          <w:szCs w:val="20"/>
          <w:color w:val="auto"/>
        </w:rPr>
      </w:pPr>
    </w:p>
    <w:p>
      <w:pPr>
        <w:spacing w:after="0"/>
        <w:tabs>
          <w:tab w:leader="none" w:pos="3440" w:val="left"/>
          <w:tab w:leader="none" w:pos="4380" w:val="left"/>
          <w:tab w:leader="none" w:pos="6300" w:val="left"/>
        </w:tabs>
        <w:rPr>
          <w:sz w:val="20"/>
          <w:szCs w:val="20"/>
          <w:color w:val="auto"/>
        </w:rPr>
      </w:pPr>
      <w:r>
        <w:rPr>
          <w:rFonts w:ascii="Times New Roman" w:cs="Times New Roman" w:eastAsia="Times New Roman" w:hAnsi="Times New Roman"/>
          <w:sz w:val="18"/>
          <w:szCs w:val="18"/>
          <w:color w:val="auto"/>
        </w:rPr>
        <w:t>payable every six months in arrears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commencing on</w:t>
      </w:r>
      <w:r>
        <w:rPr>
          <w:sz w:val="20"/>
          <w:szCs w:val="20"/>
          <w:color w:val="auto"/>
        </w:rPr>
        <w:tab/>
      </w:r>
      <w:r>
        <w:rPr>
          <w:rFonts w:ascii="Times New Roman" w:cs="Times New Roman" w:eastAsia="Times New Roman" w:hAnsi="Times New Roman"/>
          <w:sz w:val="17"/>
          <w:szCs w:val="17"/>
          <w:color w:val="auto"/>
        </w:rPr>
        <w:t>, 2025. We will make each interest payment to the holders of record</w:t>
      </w:r>
    </w:p>
    <w:p>
      <w:pPr>
        <w:spacing w:after="0" w:line="9" w:lineRule="exact"/>
        <w:rPr>
          <w:sz w:val="20"/>
          <w:szCs w:val="20"/>
          <w:color w:val="auto"/>
        </w:rPr>
      </w:pPr>
    </w:p>
    <w:p>
      <w:pPr>
        <w:spacing w:after="0"/>
        <w:tabs>
          <w:tab w:leader="none" w:pos="4860" w:val="left"/>
          <w:tab w:leader="none" w:pos="5800" w:val="left"/>
        </w:tabs>
        <w:rPr>
          <w:sz w:val="20"/>
          <w:szCs w:val="20"/>
          <w:color w:val="auto"/>
        </w:rPr>
      </w:pPr>
      <w:r>
        <w:rPr>
          <w:rFonts w:ascii="Times New Roman" w:cs="Times New Roman" w:eastAsia="Times New Roman" w:hAnsi="Times New Roman"/>
          <w:sz w:val="18"/>
          <w:szCs w:val="18"/>
          <w:color w:val="auto"/>
        </w:rPr>
        <w:t>of the Series M senior notes on the immediately preceding</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Interest on the Series M senior notes will be calculated on the basis of a 360-day year consisting of twelve 30-day months. The Series M senior notes will be issued only in fully registered form, without coupons, in denominations of $2,000 and integral multiples of $1,000 in excess thereof. Principal of, premium, if any, and interest on the Series M senior notes will be payable at the office or agency maintained by us for such purpose, in the Borough of Manhattan, The City of New York.</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below under “—Same Day Settlement and Payment,” at our option, payment of interest may be made by check mailed to the holders of any Series M senior notes at the addresses set forth upon our registry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holders of certificated Series M senior notes will be entitled to receive interest payments (other than at maturity) by wire transfer of immediately available funds, if appropriate wire transfer instructions have been received in writing by the Trustee not less than 15 days prior to the applicable interest payment date. Such wire instructions, upon receipt by the Trustee, will remain in effect until revoked by such holder. No service charge will be made for any registration of transfer or exchange of Series M senior notes, but we may require payment of a sum sufficient to cover any tax or other governmental charge payable in connection therewith. Until we designate otherwise, our office or agency will be the corporate trust office of the Trustee presently located at 240 Greenwich Street, New York, New York 10286.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73" w:lineRule="exact"/>
        <w:rPr>
          <w:sz w:val="20"/>
          <w:szCs w:val="20"/>
          <w:color w:val="auto"/>
        </w:rPr>
      </w:pPr>
    </w:p>
    <w:p>
      <w:pPr>
        <w:spacing w:after="0"/>
        <w:tabs>
          <w:tab w:leader="none" w:pos="1440" w:val="left"/>
          <w:tab w:leader="none" w:pos="1920" w:val="left"/>
          <w:tab w:leader="none" w:pos="2220" w:val="left"/>
        </w:tabs>
        <w:rPr>
          <w:sz w:val="20"/>
          <w:szCs w:val="20"/>
          <w:color w:val="auto"/>
        </w:rPr>
      </w:pPr>
      <w:r>
        <w:rPr>
          <w:rFonts w:ascii="Times New Roman" w:cs="Times New Roman" w:eastAsia="Times New Roman" w:hAnsi="Times New Roman"/>
          <w:sz w:val="18"/>
          <w:szCs w:val="18"/>
          <w:color w:val="auto"/>
        </w:rPr>
        <w:t>Prior 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days prior to their maturity date) (the “</w:t>
      </w:r>
      <w:r>
        <w:rPr>
          <w:rFonts w:ascii="Times New Roman" w:cs="Times New Roman" w:eastAsia="Times New Roman" w:hAnsi="Times New Roman"/>
          <w:sz w:val="17"/>
          <w:szCs w:val="17"/>
          <w:i w:val="1"/>
          <w:iCs w:val="1"/>
          <w:color w:val="auto"/>
        </w:rPr>
        <w:t>Par Call Date</w:t>
      </w:r>
      <w:r>
        <w:rPr>
          <w:rFonts w:ascii="Times New Roman" w:cs="Times New Roman" w:eastAsia="Times New Roman" w:hAnsi="Times New Roman"/>
          <w:sz w:val="17"/>
          <w:szCs w:val="17"/>
          <w:color w:val="auto"/>
        </w:rPr>
        <w:t>”), we may redeem the Series M senior notes at our option, at any time</w:t>
      </w:r>
    </w:p>
    <w:p>
      <w:pPr>
        <w:spacing w:after="0" w:line="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in whole or from time to time in part, at a redemption price (expressed as a percentage of principal amount and rounded to three decimal places) equal to the greater of:</w:t>
      </w:r>
    </w:p>
    <w:p>
      <w:pPr>
        <w:spacing w:after="0" w:line="1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Series M senior notes to be redeemed;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76"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on the Series M senior notes to be redeemed, in each case discounted to the redemption date (assuming the Series M senior notes matured on the Par Call Date) on a semi-annual basis (assuming</w:t>
      </w:r>
    </w:p>
    <w:p>
      <w:pPr>
        <w:sectPr>
          <w:pgSz w:w="11900" w:h="16838" w:orient="portrait"/>
          <w:cols w:equalWidth="0" w:num="1">
            <w:col w:w="11200"/>
          </w:cols>
          <w:pgMar w:left="320" w:top="1440" w:right="379" w:bottom="1440" w:gutter="0" w:footer="0" w:header="0"/>
        </w:sectPr>
      </w:pPr>
    </w:p>
    <w:p>
      <w:pPr>
        <w:spacing w:after="0" w:line="1" w:lineRule="exact"/>
        <w:rPr>
          <w:sz w:val="20"/>
          <w:szCs w:val="20"/>
          <w:color w:val="auto"/>
        </w:rPr>
      </w:pPr>
    </w:p>
    <w:p>
      <w:pPr>
        <w:ind w:left="660" w:right="260"/>
        <w:spacing w:after="0" w:line="260" w:lineRule="auto"/>
        <w:rPr>
          <w:sz w:val="20"/>
          <w:szCs w:val="20"/>
          <w:color w:val="auto"/>
        </w:rPr>
      </w:pPr>
      <w:r>
        <w:rPr>
          <w:rFonts w:ascii="Times New Roman" w:cs="Times New Roman" w:eastAsia="Times New Roman" w:hAnsi="Times New Roman"/>
          <w:sz w:val="18"/>
          <w:szCs w:val="18"/>
          <w:color w:val="auto"/>
        </w:rPr>
        <w:t>a 360-day year consisting of twelve 30-day months) at the Treasury Rate (as defined below) plus basis points, less (b) interest accrued thereon to the date of redemption,</w:t>
      </w:r>
    </w:p>
    <w:p>
      <w:pPr>
        <w:sectPr>
          <w:pgSz w:w="11900" w:h="16838" w:orient="portrait"/>
          <w:cols w:equalWidth="0" w:num="1">
            <w:col w:w="11200"/>
          </w:cols>
          <w:pgMar w:left="320" w:top="1440" w:right="37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but not including, the redemption date.</w:t>
      </w:r>
    </w:p>
    <w:p>
      <w:pPr>
        <w:sectPr>
          <w:pgSz w:w="11900" w:h="16838" w:orient="portrait"/>
          <w:cols w:equalWidth="0" w:num="1">
            <w:col w:w="11200"/>
          </w:cols>
          <w:pgMar w:left="320" w:top="1440" w:right="379" w:bottom="1440" w:gutter="0" w:footer="0" w:header="0"/>
          <w:type w:val="continuous"/>
        </w:sectPr>
      </w:pP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any time on or after the Par Call Date, the Series M senior notes will be redeemable as a whole or in part, at any time and from time to time, at our option, at a redemption price equal to 100% of the principal amount of the Series M senior notes to be redeemed plus accrued and unpaid interest on the Series M senior notes to be redeemed to, but not including, the date of redemption.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i w:val="1"/>
          <w:iCs w:val="1"/>
          <w:color w:val="auto"/>
        </w:rPr>
        <w:t>H.15 TCM</w:t>
      </w:r>
      <w:r>
        <w:rPr>
          <w:rFonts w:ascii="Times New Roman" w:cs="Times New Roman" w:eastAsia="Times New Roman" w:hAnsi="Times New Roman"/>
          <w:sz w:val="18"/>
          <w:szCs w:val="18"/>
          <w:color w:val="auto"/>
        </w:rPr>
        <w:t>”). In determining the Treasury Rate, we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00"/>
          </w:cols>
          <w:pgMar w:left="320" w:top="1440" w:right="379" w:bottom="1440" w:gutter="0" w:footer="0" w:header="0"/>
          <w:type w:val="continuous"/>
        </w:sectPr>
      </w:pPr>
    </w:p>
    <w:bookmarkStart w:id="23" w:name="page24"/>
    <w:bookmarkEnd w:id="23"/>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bid and asked prices (expressed as a percentage of principal amount) at 11:00 a.m., New York City time, of such United States Treasury security, and rounded to three decimal places.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calculation or determination of the redemption price shall be made by us or on our behalf by such person as we shall designate. For the avoidance of doubt, the calculation or determination of the redemption price shall not be the obligation or responsibility of the Trustee or paying agent.</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Notice of redemption will be mailed or sent electronically pursuant to applicable DTC procedures at least 10 but not more than 60 days before the redemption date to each holder of record of the Series M senior notes to be redeemed at its registered address (with a copy to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redemption notices may be sent more than 60 days prior to a redemption date if the notice is issued in connection with a satisfaction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 of the Indenture with respect to the Series M senior notes or, in the case of a redemption that is subject to one or more conditions precedent, if the redemption date is extended as described below.</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any redemption of the Series M senior notes, any such redemption may, in our discretion, be subject to one or more conditions precedent. In addition, if such redemption or notice is subject to satisfaction of one or more conditions precedent, such notice shall state that, in our discretion, the redemption date may be delayed beyond such 60-day period until such time as any or all such conditions shall be satisfied (or waived by us in our sole discretion), or such redemption may not occur and such notice may be rescinded in the event that any or all such conditions shall not have been satisfied by the redemption date, or by the redemption date so delayed. In addition, we may provide in such notice that payment of the redemption price and performance of our obligations with respect to such redemption may be performed by another person.</w:t>
      </w:r>
    </w:p>
    <w:p>
      <w:pPr>
        <w:spacing w:after="0" w:line="13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not prohibited from acquiring the Series M senior notes offered hereby by means other than a redemption, whether pursuant to an issuer tender offer, in open market transactions, or otherwise, assuming such acquisition does not otherwise violate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sinking fund or other mandatory redemption is provided for the Series M senior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Series M senior notes will be senior unsecured obligations, will rank senior to all of our future subordinated indebtedness and will rank equally in right of payment with all of our existing and future senior unsecured indebtedness, including our Credit Facility and the Existing Senior Notes.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M senior notes and the Existing Senior Notes will be effectively subordinated to all of our existing and future secured indebtedness, to the extent of the value of the collateral securing such indebtedness, and to the indebtedness of our subsidiaries. For further information on ranking, see “Risk Factors —The Series M senior notes are effectively subordinated to our secured debt and to the liabilities of our subsidiaries” and “Risk Factors—Certain of the covenants applicable to our Series M senior notes will no longer apply at any time that certain of our existing indebtedness is no longer outstanding or does not otherwise contain comparable restrictions; as a result, if and when these covenants no longer apply, under certain circumstances our Series M senior notes may be effectively subordinated to other senior indebtedness of the Company that we may incur and secure in the future and may not have the benefit of certain subsidiary guarantees after our Credit Facility no longer requires such springing guarantees” in this prospectus supplement and “Description of Debt Securities—General” in the accompanying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covenants applicable to the Series M senior notes will be identical in all material respects to the covenants applicable to the Series K and Series L senior notes. The Indenture governing the Series M senior notes contains, among other things, the covenants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Incurrence of Indebtedness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Aggregate Debt Test. </w:t>
      </w:r>
      <w:r>
        <w:rPr>
          <w:rFonts w:ascii="Times New Roman" w:cs="Times New Roman" w:eastAsia="Times New Roman" w:hAnsi="Times New Roman"/>
          <w:sz w:val="18"/>
          <w:szCs w:val="18"/>
          <w:color w:val="auto"/>
        </w:rPr>
        <w:t>We will not, and will not cause or permit any of our Subsidiaries to, incur any Indebtedness, including, without limitation,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if, immediately after giving effect to the incurrence of that Indebtedness and the application of the proceeds therefrom on a pro forma basis, the aggregate principal amount of all of our outstanding Indebtedness and all of the outstanding Indebtedness of our Subsidiaries, determined on a consolidated basis in accordance with GAAP, is greater than 65% of the sum of, without duplication:</w:t>
      </w:r>
    </w:p>
    <w:p>
      <w:pPr>
        <w:spacing w:after="0" w:line="12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of us and our Subsidiaries as of the last day of the then most recently ended fiscal quarter; and</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of any real estate assets or mortgages receivable acquired, and the aggregate amount of any securities offering proceeds received, to the extent the proceeds were not used to acquire real estate assets or mortgages receivable or used to reduce Indebtedness, by us or any of our Subsidiaries since the end of that fiscal quarter, including the proceeds obtained from the incurrence of that additional Indebtedness, determined on a consolidated basis in accordance with GAAP.</w:t>
      </w:r>
    </w:p>
    <w:p>
      <w:pPr>
        <w:spacing w:after="0" w:line="1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Debt Service Test</w:t>
      </w:r>
      <w:r>
        <w:rPr>
          <w:rFonts w:ascii="Times New Roman" w:cs="Times New Roman" w:eastAsia="Times New Roman" w:hAnsi="Times New Roman"/>
          <w:sz w:val="18"/>
          <w:szCs w:val="18"/>
          <w:color w:val="auto"/>
        </w:rPr>
        <w:t>. We will not, and will not cause or permit any of our Subsidiaries to, incur any Indebtedness, including, without limitation,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if the ratio of Consolidated EBITDA to the Interest Expense for the period consisting of the four consecutive fiscal quarters most recently ended for which financial statements have been filed by Host L.P. with the Securities and Exchange Commission prior to the date on which the additional Indebtedness is to be incurred shall have been less than 1.5:1 on a pro forma basis after giving effect to the incurrence of that Indebtedness and the application of the proceeds therefrom (determined on a consolidated basis in accordance with GAAP), and calculated on the assumption that:</w:t>
      </w:r>
    </w:p>
    <w:p>
      <w:pPr>
        <w:spacing w:after="0" w:line="131" w:lineRule="exact"/>
        <w:rPr>
          <w:sz w:val="20"/>
          <w:szCs w:val="20"/>
          <w:color w:val="auto"/>
        </w:rPr>
      </w:pPr>
    </w:p>
    <w:p>
      <w:pPr>
        <w:jc w:val="both"/>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and any other Indebtedness, including, without limitation, Acquired Indebtedness, incurred by us or any of our Subsidiaries since the first day of the relevant four-quarter period had been incurred, and the application of the proceeds therefrom, including to repay or retire other Indebtedness, had occurred, on the first day of the period;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or retirement of any of our other Indebtedness (other than Indebtedness repaid or retired with the proceeds of any other Indebtedness, which repayment or retirement shall be calculated pursuant to the preceding bullet and not this bullet) or any other Indebtedness of our Subsidiaries since the first day of the relevant four-quarter period had occurred on the first day of the period; and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or disposition by us or any of our Subsidiaries of any asset or group of assets, in any such case with a fair market value in excess of $1 million, since the first day of the relevant four-quarter period, whether by merger, stock purchase or sale or asset purchase or sale or otherwise, that acquisition or disposition had occurred as of the first day of the period with the appropriate adjustments with respect to the acquisition or disposition being included in the pro forma calculation.</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Indebtedness giving rise to the need to make the calculation listed above or any other Indebtedness incurred after the first day of the relevant four-quarter period bears interest at a floating rate then, for purposes of calculating the Interest Expense, the interest rate on that Indebtedness shall be computed on a pro forma basis as if the average rate which would have been in effect during the entire relevant four-quarter period had been the applicable rate for the entire period.</w:t>
      </w:r>
    </w:p>
    <w:p>
      <w:pPr>
        <w:spacing w:after="0" w:line="1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Secured Debt Test</w:t>
      </w:r>
      <w:r>
        <w:rPr>
          <w:rFonts w:ascii="Times New Roman" w:cs="Times New Roman" w:eastAsia="Times New Roman" w:hAnsi="Times New Roman"/>
          <w:sz w:val="18"/>
          <w:szCs w:val="18"/>
          <w:color w:val="auto"/>
        </w:rPr>
        <w:t>. We will not, and will not cause or permit any of our Subsidiaries to, incur Secured Indebtedness, if, immediately after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incurrence of the Secured Indebtedness and the application of the proceeds from the Secured Indebtedness on a pro forma basis, the aggregate principal amount, determined on a consolidated basis in accordance with GAAP, of all of our outstanding Secured Indebtedness and all outstanding Secured Indebtedness of our Subsidiaries is greater than 40% of the sum of, without duplication:</w:t>
      </w:r>
    </w:p>
    <w:p>
      <w:pPr>
        <w:spacing w:after="0" w:line="12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of us and our Subsidiaries as of the last day of the then most recently ended fiscal quarter;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left="660" w:right="8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of any real estate assets or mortgages receivable acquired, and the aggregate amount of any securities offering proceeds received, to the extent those proceeds were not used to acquire real estate assets or mortgages receivable or used to reduce Indebtedness, by us or any of our Subsidiaries since the end of the relevant fiscal quarter, including the proceeds obtained from the incurrence of that additional Indebtedness, determined on a consolidated basis in accordance with GAAP.</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the event that Indebtedness incurred is Refinancing Indebtedness, then we will not be required to satisfy any of the foregoing tests in order to incur such Refinancing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of Total Unencumbered Assets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have at all times Total Unencumbered Assets of not less than 150% of the aggregate principal amount of all of our outstanding Unsecured Debt and the outstanding Unsecured Debt of our Subsidiaries, determined on a consolidated basis in accordance with GAAP.</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calculation of the ratios set forth in the Limitation on Incurrence of Indebtedness covenant and the Maintenance of Total Unencumbered Assets covenant shall be undertaken by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Neither we nor any Subsidiary shall secure any Indebtedness under the Credit Facility or the Existing Senior Notes by a Lien or suffer to exist any Lien on their respective properties or assets securing Indebtedness under the Credit Facility or the Existing Senior Notes unless effective provision is made to secure the Series M senior notes equally and ratably with the Lien securing such Indebtedness for so long as Indebtedness under the Credit Facility or the Existing Senior Notes is secured by such Lien; provided that this covenant shall no longer apply upon the earlier of (i) the redemption or repayment of all of the outstanding Pre-Series K Senior Notes or (ii) the elimination of this liens covenant from all of the outstanding Pre-Series K Senior 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Guarantees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our Subsidiaries that guarantees any of our Indebtedness (the “</w:t>
      </w:r>
      <w:r>
        <w:rPr>
          <w:rFonts w:ascii="Times New Roman" w:cs="Times New Roman" w:eastAsia="Times New Roman" w:hAnsi="Times New Roman"/>
          <w:sz w:val="18"/>
          <w:szCs w:val="18"/>
          <w:i w:val="1"/>
          <w:iCs w:val="1"/>
          <w:color w:val="auto"/>
        </w:rPr>
        <w:t>Guaranteed Indebtedness</w:t>
      </w:r>
      <w:r>
        <w:rPr>
          <w:rFonts w:ascii="Times New Roman" w:cs="Times New Roman" w:eastAsia="Times New Roman" w:hAnsi="Times New Roman"/>
          <w:sz w:val="18"/>
          <w:szCs w:val="18"/>
          <w:color w:val="auto"/>
        </w:rPr>
        <w:t xml:space="preserve">”) in the future will be required to guarantee the Series M senior notes offered hereby; provided that this covenant shall no longer apply upon the elimination of the future guarantees covenant from all of the outstanding Pre-Series K Senior Notes (including upon redemption or repayment in full) and from the Credit Facility. To the extent this covenant is applicable, if the Guaranteed Indebtedness is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Series M senior notes, then the guarantee of such Guaranteed Indebtedness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or subordinated in right of payment to, the future guarantee of the Series M senior note required hereby or (B) subordinated in right of payment to the Series M senior notes, then the guarantee of such Guaranteed Indebtedness shall be subordinated in right of payment to the future guarantee of the Series M senior notes required hereby at least to the extent that the Guaranteed Indebtedness is subordinated in right of payment to the Series M senior notes. The Series M senior notes offered hereby will not initially be guaranteed by Host Hotels &amp; Resorts, Inc. or any of our direct or indirect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Reports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the extent any Series M senior notes are outstanding, we shall deliver to the Trustee and to each holder, within 15 days after we are or would have been required to file such with the Commission, annual and quarterly financial statements substantially equivalent to financial statements that would have been included in reports filed with the Commission if we were subject to the requirements of Section 13 or 15(d) of the Exchange Act, including, with respect to annual information only, a report thereon by our certified independent public accountants, as such would be required in such reports to the Commission, and, in each case, together with a management’s discussion and analysis of financial condition and results of operations which would be so required.</w:t>
      </w:r>
    </w:p>
    <w:p>
      <w:pPr>
        <w:spacing w:after="0" w:line="1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covenant is for informational purposes only, and the Trustee’s receipt of the foregoing shall not constitute constructive or actual notice of any information contained therein or determinable from information contained therein, including our compliance with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covenants hereunder (as to which the Trustee is entitled to rely exclusively on officer’s certificates). All such reports, information or documents referred to in this covenant that we file with the Commission via the Commission’s EDGAR system shall be deemed to be filed with the Trustee and transmitted to holders at the time such reports, information or documents are filed via the EDGAR system (or any successor system).</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to the extent we do not file reports with the Commission’s EDGAR system, we shall make the reports required by this covenant available to the holders of the Series M senior notes, beneficial owners of the Series M senior notes, bona fide prospective investors in the Series M senior notes, bona fide market makers in the Series M senior notes and bona fide securities analysts (to the extent providing analysis of investment in the Series M senior notes) by posting to our website or on a non-public, password-protected website maintained by us or a third party, in each case, within 15 days after the time we would be required to provide such information pursuant to this covenant.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“Events of Default” provision set forth in the accompanying prospectus, the first paragraph will be superseded by the following: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with respect to the Series M senior notes, any of the following:</w:t>
      </w:r>
    </w:p>
    <w:p>
      <w:pPr>
        <w:spacing w:after="0" w:line="173" w:lineRule="exact"/>
        <w:rPr>
          <w:sz w:val="20"/>
          <w:szCs w:val="20"/>
          <w:color w:val="auto"/>
        </w:rPr>
      </w:pPr>
    </w:p>
    <w:p>
      <w:pPr>
        <w:ind w:left="660" w:right="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the Series M senior notes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the Series M senior notes at their maturity;</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(a) Secured Indebtedness of Host L.P. or any of Host L.P.’s Subsidiaries with an aggregate principal amount in excess of 5% of Total Assets, or (b) other Indebtedness of Host L.P. or any of Host L.P.’s Subsidiaries with an aggregate principal amount in excess of $150 million, in either case, (A) resulting from the failure to pay principal or interest when due (after giving effect to any applicable extensions or grace or cure periods) or (B) as a result of which the maturity of such Indebtedness has been accelerated prior to its final stated maturity;</w:t>
      </w:r>
    </w:p>
    <w:p>
      <w:pPr>
        <w:spacing w:after="0" w:line="12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Host L.P. and the Trustee receive written notice from the holders of not less than 25% in principal amount of the outstanding debt securities of that series as provided in the Indenture; or</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Host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Set forth below are certain defined terms used in this prospectus supplement and the supplemental indenture to the Indenture. We refer you to the Indenture and the supplemental indenture to the Indenture for a full disclosure of all such terms, as well as any other capitalized terms used in this prospectus supplement for which no definition is provided.</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Indebtedness</w:t>
      </w:r>
      <w:r>
        <w:rPr>
          <w:rFonts w:ascii="Times New Roman" w:cs="Times New Roman" w:eastAsia="Times New Roman" w:hAnsi="Times New Roman"/>
          <w:sz w:val="18"/>
          <w:szCs w:val="18"/>
          <w:color w:val="auto"/>
        </w:rPr>
        <w:t xml:space="preserve">” means Indebtedness of a person (1) existing at the time such person is merged or consolidated with or into, or becomes a Subsidiary of us or (2) assumed by us or any of our Subsidiaries in connection with the acquisition of assets from that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of such person which is redeemed, defeased (including the deposit of funds in a valid trust for the exclusive benefit of holders and the trustee thereof, sufficient to repay such Indebtedness in accordance with its terms), retired or otherwise repaid at the time of or immediately upon consummation of the transactions by which such person is acquired shall not be included as Acquired Indebtedness. Acquired Indebtedness shall be deemed to be incurred on the date the acquired person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merged or consolidated with or into, or becomes a Subsidiary of, us or the date of the related acquisition, as the case may be.</w:t>
      </w:r>
    </w:p>
    <w:p>
      <w:pPr>
        <w:spacing w:after="0" w:line="16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Life</w:t>
      </w:r>
      <w:r>
        <w:rPr>
          <w:rFonts w:ascii="Times New Roman" w:cs="Times New Roman" w:eastAsia="Times New Roman" w:hAnsi="Times New Roman"/>
          <w:sz w:val="18"/>
          <w:szCs w:val="18"/>
          <w:color w:val="auto"/>
        </w:rPr>
        <w:t>” means at any date of determination with respect to any debt security, the quotient obtained by dividing (i) the sum of the products of (a) the number of years (calculated to the nearest one-twelfth) from such date of determination to the date of each successive scheduled principal (or redemption) payment of such debt security and (b) the amount of such principal (or redemption) payment by (ii) the sum of all such principal (or redemption) payments.</w:t>
      </w:r>
    </w:p>
    <w:p>
      <w:pPr>
        <w:spacing w:after="0" w:line="119"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including, without limitation, of corporate stock and partnership interests.</w:t>
      </w:r>
    </w:p>
    <w:p>
      <w:pPr>
        <w:spacing w:after="0" w:line="10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w:t>
      </w:r>
      <w:r>
        <w:rPr>
          <w:rFonts w:ascii="Times New Roman" w:cs="Times New Roman" w:eastAsia="Times New Roman" w:hAnsi="Times New Roman"/>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w:t>
      </w:r>
    </w:p>
    <w:p>
      <w:pPr>
        <w:spacing w:after="0" w:line="10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 Obligations</w:t>
      </w:r>
      <w:r>
        <w:rPr>
          <w:rFonts w:ascii="Times New Roman" w:cs="Times New Roman" w:eastAsia="Times New Roman" w:hAnsi="Times New Roman"/>
          <w:sz w:val="18"/>
          <w:szCs w:val="18"/>
          <w:color w:val="auto"/>
        </w:rPr>
        <w:t>” means the discounted present value of the rental obligations under a Capitalized Lease as reflected on the balance sheet of such person in accordance with GAAP.</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for any period means our Consolidated Net Income and the Consolidated Net Income of our Subsidiaries for such period, plus amounts which have been deducted and minus amounts which have been added for, without duplication: (1) interest expense on Indebtedness; (2) provision for taxes based on income; (3) amortization of debt discount, premium and deferred financing costs; (4) gains and losses on sales or other dispositions of depreciable properties and other investments; (5) property depreciation and amortization, including any impairment charges; (6) the effect of any non-cash items; and (7) amortization of deferred charges, all determined on a consolidated basis in accordance with GAAP.</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for any period means the amount of net income, or loss, for us and our Subsidiaries for such period, excluding, without duplication, (1) extraordinary, non-recurring or other unusual items, as determined by us in good faith (including, without limitation, all prepayment penalties and all costs or fees incurred in connection with any debt financing or amendment thereto, acquisition, disposition, recapitalization or similar transaction (regardless of whether such transaction is completed)), (2) the portion of net income for us and our Subsidiaries allocable to non-controlling interests in unconsolidated persons to the extent that cumulative cash dividends or distributions have not actually been received by us or one of our Subsidiaries and (3) the portion of net losses for us and our Subsidiaries allocable to non-controlling interests in unconsolidated persons, all determined on a consolidated basis in accordance with GAAP.</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means the credit facility established pursuant to the Sixth Amended and Restated Credit Agreement, dated as of January 4, 2023, among the Company, Bank of America, N.A., as Administrative Agent, and other agents and lenders party thereto, together with all other agreements, instruments and documents executed or delivered pursuant thereto or in connection therewith, in each case as such agreements, instruments or documents may be amended, supplemented, extended, renewed, replaced or otherwise modified or restructured from time to time (including by way of adding Subsidiaries of the Company as additional borrowers or guarantors thereof), whether by the same or any other agent, lender or group of lenders (including by means of sales of debt securities).</w:t>
      </w:r>
    </w:p>
    <w:p>
      <w:pPr>
        <w:spacing w:after="0" w:line="12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Existing Senior Notes</w:t>
      </w:r>
      <w:r>
        <w:rPr>
          <w:rFonts w:ascii="Times New Roman" w:cs="Times New Roman" w:eastAsia="Times New Roman" w:hAnsi="Times New Roman"/>
          <w:sz w:val="17"/>
          <w:szCs w:val="17"/>
          <w:color w:val="auto"/>
        </w:rPr>
        <w:t>” means amounts outstanding from time to time of (i) the 4% Series E senior notes due 2025 (the “</w:t>
      </w:r>
      <w:r>
        <w:rPr>
          <w:rFonts w:ascii="Times New Roman" w:cs="Times New Roman" w:eastAsia="Times New Roman" w:hAnsi="Times New Roman"/>
          <w:sz w:val="17"/>
          <w:szCs w:val="17"/>
          <w:i w:val="1"/>
          <w:iCs w:val="1"/>
          <w:color w:val="auto"/>
        </w:rPr>
        <w:t>Series E senior notes</w:t>
      </w:r>
      <w:r>
        <w:rPr>
          <w:rFonts w:ascii="Times New Roman" w:cs="Times New Roman" w:eastAsia="Times New Roman" w:hAnsi="Times New Roman"/>
          <w:sz w:val="17"/>
          <w:szCs w:val="17"/>
          <w:color w:val="auto"/>
        </w:rPr>
        <w:t>”); (ii) the 4.5% Series F senior notes due 2026 (the “</w:t>
      </w:r>
      <w:r>
        <w:rPr>
          <w:rFonts w:ascii="Times New Roman" w:cs="Times New Roman" w:eastAsia="Times New Roman" w:hAnsi="Times New Roman"/>
          <w:sz w:val="17"/>
          <w:szCs w:val="17"/>
          <w:i w:val="1"/>
          <w:iCs w:val="1"/>
          <w:color w:val="auto"/>
        </w:rPr>
        <w:t>Series F senior notes</w:t>
      </w:r>
      <w:r>
        <w:rPr>
          <w:rFonts w:ascii="Times New Roman" w:cs="Times New Roman" w:eastAsia="Times New Roman" w:hAnsi="Times New Roman"/>
          <w:sz w:val="17"/>
          <w:szCs w:val="17"/>
          <w:color w:val="auto"/>
        </w:rPr>
        <w:t>”); (iii) the 3.375% Series H senior notes due 2029 (the “</w:t>
      </w:r>
      <w:r>
        <w:rPr>
          <w:rFonts w:ascii="Times New Roman" w:cs="Times New Roman" w:eastAsia="Times New Roman" w:hAnsi="Times New Roman"/>
          <w:sz w:val="17"/>
          <w:szCs w:val="17"/>
          <w:i w:val="1"/>
          <w:iCs w:val="1"/>
          <w:color w:val="auto"/>
        </w:rPr>
        <w:t>Series H senior notes</w:t>
      </w:r>
      <w:r>
        <w:rPr>
          <w:rFonts w:ascii="Times New Roman" w:cs="Times New Roman" w:eastAsia="Times New Roman" w:hAnsi="Times New Roman"/>
          <w:sz w:val="17"/>
          <w:szCs w:val="17"/>
          <w:color w:val="auto"/>
        </w:rPr>
        <w:t>”); (iv) the</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3.5% Series I senior notes due 2030 (the “</w:t>
      </w:r>
      <w:r>
        <w:rPr>
          <w:rFonts w:ascii="Times New Roman" w:cs="Times New Roman" w:eastAsia="Times New Roman" w:hAnsi="Times New Roman"/>
          <w:sz w:val="18"/>
          <w:szCs w:val="18"/>
          <w:i w:val="1"/>
          <w:iCs w:val="1"/>
          <w:color w:val="auto"/>
        </w:rPr>
        <w:t>Series I senior notes</w:t>
      </w:r>
      <w:r>
        <w:rPr>
          <w:rFonts w:ascii="Times New Roman" w:cs="Times New Roman" w:eastAsia="Times New Roman" w:hAnsi="Times New Roman"/>
          <w:sz w:val="18"/>
          <w:szCs w:val="18"/>
          <w:color w:val="auto"/>
        </w:rPr>
        <w:t>”); (v) the 2.9% Series J senior notes due 2031 (the “</w:t>
      </w:r>
      <w:r>
        <w:rPr>
          <w:rFonts w:ascii="Times New Roman" w:cs="Times New Roman" w:eastAsia="Times New Roman" w:hAnsi="Times New Roman"/>
          <w:sz w:val="18"/>
          <w:szCs w:val="18"/>
          <w:i w:val="1"/>
          <w:iCs w:val="1"/>
          <w:color w:val="auto"/>
        </w:rPr>
        <w:t>Series J senior notes</w:t>
      </w:r>
      <w:r>
        <w:rPr>
          <w:rFonts w:ascii="Times New Roman" w:cs="Times New Roman" w:eastAsia="Times New Roman" w:hAnsi="Times New Roman"/>
          <w:sz w:val="18"/>
          <w:szCs w:val="18"/>
          <w:color w:val="auto"/>
        </w:rPr>
        <w:t>”); (vi) the 5.7% Series K senior notes due 2034 (the “</w:t>
      </w:r>
      <w:r>
        <w:rPr>
          <w:rFonts w:ascii="Times New Roman" w:cs="Times New Roman" w:eastAsia="Times New Roman" w:hAnsi="Times New Roman"/>
          <w:sz w:val="18"/>
          <w:szCs w:val="18"/>
          <w:i w:val="1"/>
          <w:iCs w:val="1"/>
          <w:color w:val="auto"/>
        </w:rPr>
        <w:t>Series K senior notes</w:t>
      </w:r>
      <w:r>
        <w:rPr>
          <w:rFonts w:ascii="Times New Roman" w:cs="Times New Roman" w:eastAsia="Times New Roman" w:hAnsi="Times New Roman"/>
          <w:sz w:val="18"/>
          <w:szCs w:val="18"/>
          <w:color w:val="auto"/>
        </w:rPr>
        <w:t>”); and (vii) the 5.5% Series L senior notes due 2035 (the “</w:t>
      </w:r>
      <w:r>
        <w:rPr>
          <w:rFonts w:ascii="Times New Roman" w:cs="Times New Roman" w:eastAsia="Times New Roman" w:hAnsi="Times New Roman"/>
          <w:sz w:val="18"/>
          <w:szCs w:val="18"/>
          <w:i w:val="1"/>
          <w:iCs w:val="1"/>
          <w:color w:val="auto"/>
        </w:rPr>
        <w:t>Series L senior notes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any indebtedness of that person, whether or not contingent, in respect of: (1) borrowed money or evidenced by bonds, notes, debentures or similar instruments; (2) indebtedness secured by any Lien on any property or asset owned by such person, but only to the extent of the lesser of: (a) the amount of indebtedness so secured; and (b) the fair market value of the property subject to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40" w:lineRule="exact"/>
        <w:rPr>
          <w:sz w:val="20"/>
          <w:szCs w:val="20"/>
          <w:color w:val="auto"/>
        </w:rPr>
      </w:pPr>
    </w:p>
    <w:p>
      <w:pPr>
        <w:ind w:right="20" w:firstLine="8"/>
        <w:spacing w:after="0" w:line="253"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contingent or otherwise, in connection with any letters of credit actually issued and called (other than letters of credit issued to provide credit enhancement or support with respect to other indebtedness of a person or any of its subsidiaries otherwise reflected as Indebtedness hereunder) or amounts representing the balance deferred and unpaid of the purchase price of any property except any such balance that constitutes an accrued expense or trade payable; or (4) any lease of property by such person as lessee which is required to be reflected on such person’s balance sheet as a capitalized lease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clauses (1) through (3) above, items shall only constitute Indebtedness to the extent that those items (other than letters of credit) would appear as a liability on our consolidated balance sheet in accordance with GAAP. Indebtedness also includes, to the extent not otherwise included, any obligation of that person to be liable for, or to pay, as obligor, guarantor or otherwise, other than for purposes of collection in the ordinary course of business, Indebtedness of the types referred to above of another person (excluding guarantees, indemnities and obligations relating to usual and customary exceptions to non-recourse debt financings, such as environmental indemnities and recourse carve-outs consistent with customary industry practice, as determined by us in good faith, until such time as they become primary obligations of that person, and payments are due and required to be made thereunder), it being understood that Indebtedness shall be deemed to be incurred by such person whenever such person shall create, assume, guarantee or otherwise become liable in respect thereof.</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means, for any period, our interest expense and the interest expense of our Subsidiaries for such period, including, without duplication,</w:t>
      </w:r>
    </w:p>
    <w:p>
      <w:pPr>
        <w:spacing w:after="0" w:line="29" w:lineRule="exact"/>
        <w:rPr>
          <w:sz w:val="20"/>
          <w:szCs w:val="20"/>
          <w:color w:val="auto"/>
        </w:rPr>
      </w:pPr>
    </w:p>
    <w:p>
      <w:pPr>
        <w:ind w:right="260" w:firstLine="8"/>
        <w:spacing w:after="0" w:line="255"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amortization of debt discount, but excluding the amortization of fees or expenses incurred in order to consummate the sale of debt securities or to establish the Credit Facility, (2) all accrued interest, (3) all capitalized interest, and (4) the interest component of Capitalized Lease Obligations, all determined on a consolidated basis in accordance with GAAP, but excluding debt extinguishment costs and prepayment penalties.</w:t>
      </w:r>
    </w:p>
    <w:p>
      <w:pPr>
        <w:spacing w:after="0" w:line="13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deed of trust, lien, charge, pledge, security interest, security agreement, or other encumbrance of any kind other than a Permitted Lien.</w:t>
      </w:r>
    </w:p>
    <w:p>
      <w:pPr>
        <w:spacing w:after="0" w:line="10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xml:space="preserve">” means any of the following: (1) Liens imposed by governmental authorities for taxes, assessments or other charges where nonpayment thereof is not subject to penalty or which are being contested in good faith and by appropriate proceedings, if adequate reserves with respect thereto are maintained on our books in accordance with GAAP; (2) statutory liens of carriers, warehousemen, mechanics, materialmen, landlords, repairmen or other like Liens arising by operation of law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underlying obligations are not overdue for a period of more than 30 days, and (b) such Liens are being contested in good faith and by appropriate proceedings and adequate reserves with respect thereto are maintained on our books in accordance with GAAP; (3) Liens securing the performance of bids, trade contracts (other than for borrowed money), leases, statutory obligations, surety and appeal bonds, performance bonds and other obligations of a like nature incurred in the ordinary course of business;</w:t>
      </w:r>
    </w:p>
    <w:p>
      <w:pPr>
        <w:spacing w:after="0" w:line="5" w:lineRule="exact"/>
        <w:rPr>
          <w:sz w:val="20"/>
          <w:szCs w:val="20"/>
          <w:color w:val="auto"/>
        </w:rPr>
      </w:pPr>
    </w:p>
    <w:p>
      <w:pPr>
        <w:ind w:right="140" w:firstLine="8"/>
        <w:spacing w:after="0" w:line="25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similar restrictions and other similar encumbrances or title defects which, singly or in the aggregate, do not in any case materially detract from the value of the property, subject thereto (as such property is used by us or any of our Subsidiaries) or interfere with the ordinary conduct of our business or that of any of our Subsidiaries; (5) Liens arising by operation of law in connection with judgments, only to the extent, for an amount and for a period not resulting in an Event of Default with respect thereto; (6) pledges or deposits made in the ordinary course of business in connection with workers’ compensation, unemployment insurance and other types of social security legislation; and (7) Liens securing on an equal and ratable basis the debt securities and any other Indebtedness.</w:t>
      </w:r>
    </w:p>
    <w:p>
      <w:pPr>
        <w:spacing w:after="0" w:line="13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Pre-Series K Senior Notes</w:t>
      </w:r>
      <w:r>
        <w:rPr>
          <w:rFonts w:ascii="Times New Roman" w:cs="Times New Roman" w:eastAsia="Times New Roman" w:hAnsi="Times New Roman"/>
          <w:sz w:val="18"/>
          <w:szCs w:val="18"/>
          <w:color w:val="auto"/>
        </w:rPr>
        <w:t>” means (i) the Series E senior notes; (ii) the Series F senior notes; (iii) the Series H senior notes; (iv) the Series I senior notes; and (v) the Series J senior notes.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Indebtedness</w:t>
      </w:r>
      <w:r>
        <w:rPr>
          <w:rFonts w:ascii="Times New Roman" w:cs="Times New Roman" w:eastAsia="Times New Roman" w:hAnsi="Times New Roman"/>
          <w:sz w:val="18"/>
          <w:szCs w:val="18"/>
          <w:color w:val="auto"/>
        </w:rPr>
        <w:t>” means Indebtedness: (i) issued in exchange for, or the proceeds from the issuance and sale of which are used substantially concurrently to repay, redeem, defease, refund, refinance, discharge or otherwise retire for value, in whole or in part; or (ii) constituting an amendment, modification or supplement to, or a deferral or renewal of ((i) and (ii) above are, collectively, a “</w:t>
      </w:r>
      <w:r>
        <w:rPr>
          <w:rFonts w:ascii="Times New Roman" w:cs="Times New Roman" w:eastAsia="Times New Roman" w:hAnsi="Times New Roman"/>
          <w:sz w:val="18"/>
          <w:szCs w:val="18"/>
          <w:i w:val="1"/>
          <w:iCs w:val="1"/>
          <w:color w:val="auto"/>
        </w:rPr>
        <w:t>Refinancing</w:t>
      </w:r>
      <w:r>
        <w:rPr>
          <w:rFonts w:ascii="Times New Roman" w:cs="Times New Roman" w:eastAsia="Times New Roman" w:hAnsi="Times New Roman"/>
          <w:sz w:val="18"/>
          <w:szCs w:val="18"/>
          <w:color w:val="auto"/>
        </w:rPr>
        <w:t xml:space="preserve">”), any Indebtedness in a principal amount (or accreted value, if applicable) not to exceed: (a) the principal amount (or accreted value, if applicable) of the Indebtedness so refinanced; plus (b) all accrued interest on the Indebtedness and the amount of all expenses and premiums incurred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Refinancing Indebtedness (other than a revolving line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credit from a commercial lender or other Indebtedness whose proceeds are used to repay a revolving line of credit from a commercial lender to the extent such revolving line of credit or other Indebtedness was not put in place for purposes of evading the limitations described in this definition) shall: (w) not have an Average Life shorter than the Indebtedness to be so refinanced at the time of such Refinancing; (x) be subordinated in right of payment to the rights of holders of the Series M senior notes if the Indebtedness to be refinanced was so subordinated; (y) be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the rights of holders of the Series M senior notes if the Indebtedness to be refinanced was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the rights of holders of the Series M senior notes; and (z) be unsecured if the Indebtedness to be refinanced was unsecured. For the avoidance of doubt, the issuance of a notice of redemption or other prepayment notice after the closing of such Refinancing Indebtedness (with payment made pursuant to terms set forth in such notice) would be deemed to be substantially concurrently for the purposes of this definition.</w:t>
      </w:r>
    </w:p>
    <w:p>
      <w:pPr>
        <w:spacing w:after="0" w:line="13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Indebtedness</w:t>
      </w:r>
      <w:r>
        <w:rPr>
          <w:rFonts w:ascii="Times New Roman" w:cs="Times New Roman" w:eastAsia="Times New Roman" w:hAnsi="Times New Roman"/>
          <w:sz w:val="18"/>
          <w:szCs w:val="18"/>
          <w:color w:val="auto"/>
        </w:rPr>
        <w:t>” means any Indebtedness, including, without limitation, Acquired Indebtedness, secured by any Lien on any of our property or assets or any of the property or assets of our Subsidiaries, whether owned on the Series Issue Date or thereafter acquired.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Issue Date</w:t>
            </w:r>
            <w:r>
              <w:rPr>
                <w:rFonts w:ascii="Times New Roman" w:cs="Times New Roman" w:eastAsia="Times New Roman" w:hAnsi="Times New Roman"/>
                <w:sz w:val="18"/>
                <w:szCs w:val="18"/>
                <w:color w:val="auto"/>
              </w:rPr>
              <w:t>” means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2025.</w:t>
            </w:r>
          </w:p>
        </w:tc>
      </w:tr>
    </w:tbl>
    <w:p>
      <w:pPr>
        <w:spacing w:after="0" w:line="14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at any date, any corporation, limited liability company, partnership, association or other entity (but excluding an individual), the accounts of which would be consolidated with those of such person in such person’s consolidated financial statements if such financial statements were prepared in accordance with GAAP as in effect from time to time.</w:t>
      </w:r>
    </w:p>
    <w:p>
      <w:pPr>
        <w:spacing w:after="0" w:line="119"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means, the sum of, without duplication, Undepreciated Real Estate Assets and all other assets, excluding intangibles, of ours and our Subsidiaries, all determined on a consolidated basis in accordance with GAAP.</w:t>
      </w:r>
    </w:p>
    <w:p>
      <w:pPr>
        <w:spacing w:after="0" w:line="1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Unencumbered Assets</w:t>
      </w:r>
      <w:r>
        <w:rPr>
          <w:rFonts w:ascii="Times New Roman" w:cs="Times New Roman" w:eastAsia="Times New Roman" w:hAnsi="Times New Roman"/>
          <w:sz w:val="18"/>
          <w:szCs w:val="18"/>
          <w:color w:val="auto"/>
        </w:rPr>
        <w:t xml:space="preserve">” means, the sum of, without duplication, those Undepreciated Real Estate Assets which are not subject to a Lien securing Indebtedness and all other assets, excluding intangibles, of ours and our Subsidiaries not subject to a Lien securing Indebtedness, all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determining Total Unencumbered Assets as a percentage of outstanding Unsecured Debt for purposes of the covenant set forth above in “—Certain Covenants—Limitation on Incurrence of Indebtedness—Maintenance of Total Unencumbered Assets,” all investments by us and our Subsidiaries in unconsolidated joint ventures, unconsolidated limited partnerships, unconsolidated limited liability companies and other unconsolidated entities shall be excluded from Total Unencumbered Assets to the extent that such investments would have otherwise been included.</w:t>
      </w:r>
    </w:p>
    <w:p>
      <w:pPr>
        <w:spacing w:after="0" w:line="12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means, as of any date, the cost (being the original cost plus capital improvements) of our real estate assets and the real estate assets of our Subsidiaries on such date, before depreciation and amortization and impairments, all determined on a consolidated basis in accordance with GAAP.</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Unsecured Debt</w:t>
      </w:r>
      <w:r>
        <w:rPr>
          <w:rFonts w:ascii="Times New Roman" w:cs="Times New Roman" w:eastAsia="Times New Roman" w:hAnsi="Times New Roman"/>
          <w:sz w:val="18"/>
          <w:szCs w:val="18"/>
          <w:color w:val="auto"/>
        </w:rPr>
        <w:t>” means, Indebtedness of ours or any of our Subsidiaries which is not secured by a Lien on any property or assets of ours or any of our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Form and Transfer</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The Series M senior notes will be represented by one or more notes in registered, global form without interest coupons (collectively, the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Global Notes will be deposited upon issuance with the Trustee as custodian for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in New York, New York, and registered in the name of DTC or its nominee, in each case, for credit to an account of a direct or indirect participant in DTC as described below.</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DTC has advised us that DTC is a limited-purpose trust company created to hold securities for its participating organizations, called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Indirect access to DTC’s system is also available to other entities that clear through or maintain a direct or indirect custodial relationship with a direct participant, called the “indirect participants.” DTC may hold securities beneficially owned by other persons only through the direct participants or indirect participants and such other person’s ownership interest and transfer of ownership interest will be recorded only on the records of the direct participant and/or indirect participant and not on the records maintained by DTC.</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DTC has also advised us that, pursuant to DTC’s procedures, (1) upon issuance of the Global Notes, DTC will credit the accounts of the direct participants with portions of the principal amount of the Global Notes, and (2) DTC will maintain records of the ownership interests of such direct participants in the Global Notes and the transfer of ownership interests by and between direct participants, DTC will not maintain records of the ownership interests of, or the transfer of ownership interest by and between, indirect participants or other owners of beneficial interests in the Global Notes. Direct participants and indirect participants must maintain their own records of the ownership interests of, and the transfer of ownership interests by and between, indirect participants and other owners of beneficial interests in the Global Notes.</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Clearstream Banking,</w:t>
      </w:r>
      <w:r>
        <w:rPr>
          <w:rFonts w:ascii="Times New Roman" w:cs="Times New Roman" w:eastAsia="Times New Roman" w:hAnsi="Times New Roman"/>
          <w:sz w:val="18"/>
          <w:szCs w:val="18"/>
          <w:i w:val="1"/>
          <w:iCs w:val="1"/>
          <w:color w:val="auto"/>
        </w:rPr>
        <w:t xml:space="preserve"> société anonyme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is incorporated under the laws of Luxembourg as a professional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holds securities for its participating organizations (“</w:t>
      </w:r>
      <w:r>
        <w:rPr>
          <w:rFonts w:ascii="Times New Roman" w:cs="Times New Roman" w:eastAsia="Times New Roman" w:hAnsi="Times New Roman"/>
          <w:sz w:val="18"/>
          <w:szCs w:val="18"/>
          <w:i w:val="1"/>
          <w:iCs w:val="1"/>
          <w:color w:val="auto"/>
        </w:rPr>
        <w:t>Clearstream Participants</w:t>
      </w:r>
      <w:r>
        <w:rPr>
          <w:rFonts w:ascii="Times New Roman" w:cs="Times New Roman" w:eastAsia="Times New Roman" w:hAnsi="Times New Roman"/>
          <w:sz w:val="18"/>
          <w:szCs w:val="18"/>
          <w:color w:val="auto"/>
        </w:rPr>
        <w:t>”)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3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DTC for Clearstream.</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Euroclear Bank S.A./N.V. (“</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was created in 1968 to hold securities for participants of Euroclear (“</w:t>
      </w:r>
      <w:r>
        <w:rPr>
          <w:rFonts w:ascii="Times New Roman" w:cs="Times New Roman" w:eastAsia="Times New Roman" w:hAnsi="Times New Roman"/>
          <w:sz w:val="18"/>
          <w:szCs w:val="18"/>
          <w:i w:val="1"/>
          <w:iCs w:val="1"/>
          <w:color w:val="auto"/>
        </w:rPr>
        <w:t>Euroclear Participants</w:t>
      </w:r>
      <w:r>
        <w:rPr>
          <w:rFonts w:ascii="Times New Roman" w:cs="Times New Roman" w:eastAsia="Times New Roman" w:hAnsi="Times New Roman"/>
          <w:sz w:val="18"/>
          <w:szCs w:val="18"/>
          <w:color w:val="auto"/>
        </w:rPr>
        <w:t>”)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w:t>
      </w:r>
      <w:r>
        <w:rPr>
          <w:rFonts w:ascii="Times New Roman" w:cs="Times New Roman" w:eastAsia="Times New Roman" w:hAnsi="Times New Roman"/>
          <w:sz w:val="18"/>
          <w:szCs w:val="18"/>
          <w:i w:val="1"/>
          <w:iCs w:val="1"/>
          <w:color w:val="auto"/>
        </w:rPr>
        <w:t>Euroclear Operator</w:t>
      </w:r>
      <w:r>
        <w:rPr>
          <w:rFonts w:ascii="Times New Roman" w:cs="Times New Roman" w:eastAsia="Times New Roman" w:hAnsi="Times New Roman"/>
          <w:sz w:val="18"/>
          <w:szCs w:val="18"/>
          <w:color w:val="auto"/>
        </w:rPr>
        <w:t>”), under contract with Euro-clear Clearance Systems S.C., a Belgian cooperative corporation (the “</w:t>
      </w:r>
      <w:r>
        <w:rPr>
          <w:rFonts w:ascii="Times New Roman" w:cs="Times New Roman" w:eastAsia="Times New Roman" w:hAnsi="Times New Roman"/>
          <w:sz w:val="18"/>
          <w:szCs w:val="18"/>
          <w:i w:val="1"/>
          <w:iCs w:val="1"/>
          <w:color w:val="auto"/>
        </w:rPr>
        <w:t>Cooperative</w:t>
      </w:r>
      <w:r>
        <w:rPr>
          <w:rFonts w:ascii="Times New Roman" w:cs="Times New Roman" w:eastAsia="Times New Roman" w:hAnsi="Times New Roman"/>
          <w:sz w:val="18"/>
          <w:szCs w:val="18"/>
          <w:color w:val="auto"/>
        </w:rPr>
        <w:t>”).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Euroclear Operator is regulated and examined by the Belgian Banking Commission.</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Links have been established among DTC, Clearstream and Euroclear to facilitate the initial issuance of the Series M senior notes sold outside of the United States and cross-market transfers of the Series M senior notes associated with secondary market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DTC, Clearstream and Euroclear have agreed to the procedures provided below in order to facilitate transfers, they are under no obligation to perform these procedures, and these procedures may be modified or discontinued at any time. Neither we, nor the Trustee nor any of our or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Clearstream and Euroclear will record the ownership interests of their participants in much the same way as DTC, and DTC will record the total ownership of each of the U.S. agents of Clearstream and Euroclear, as participants in DTC. When Series M senior notes are to be transferred from the account of a DTC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Series M senior notes against payment. After settlement, Clearstream or Euroclear will credit its participant’s account. Credit for the Series M senior notes will appear on the next day (European time).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settlement is taking place during New York business hours, DTC participants will be able to employ their usual procedures for sending notes to the relevant U.S. agent acting for the benefit of Clearstream Participants or Euroclear Participants. The sale proceeds will be available to DTC seller on the settlement date. As a result, to a DTC participant, a cross-market transaction will settle no differently than a trade between two DTC participants.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When a Clearstream Participant or Euroclear Participant wishes to transfer Series M senior notes to a DTC participant, the seller will be required to send instructions to Clearstream or Euroclear through a participant at least one business day prior to settlement. In these cases, Clearstream or Euroclear will instruct its U.S. agent to transfer these Series M senior notes against payment for them. The payment will then be reflected in the account of the Clearstream Participant or Euroclear Participant the following day, with the proceeds back valued to the value date, which would be the preceding day, when settlement occurs in New York, if settlement is not completed on the intended value date, that is, the trade fails, proceeds credited to the Clearstream Participant’s or Euroclear Participant’s account will instead be valued as of the actual settlement date.</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Series M senior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w:t>
      </w:r>
    </w:p>
    <w:p>
      <w:pPr>
        <w:spacing w:after="0" w:line="12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the Global Notes will not have notes registered in their names, will not receive physical delivery of Series M senior notes in certificated form and will not be considered the registered owners or holders thereof under the Indenture for any purpose.</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Indenture, we and the Trustee will treat the persons in whose names the Series M senior notes are registered (including Series M senior notes represented by Global Notes) as the owners thereof for the purpose of receiving payments and for any and all other purposes whatsoever. Payments in respect of the principal, premium, liquidated damages, if any, and interest on global notes registered in the name of DTC or its nominee will be payable by the Trustee to DTC or its nominee as the registered holder under the Indenture. Consequently, neither of us or the Trustee nor any agent of ours or the Trustee has or will have any responsibility or liability for (1) any aspect of DTC’s records or any direct participant’s or indirect participant’s records relating to or payments made on account of beneficial ownership interests in the global notes or for maintaining, supervising or reviewing any of DTC’s records or any direct participant’s or indirect participant’s records relating to the beneficial ownership interests in any Global Note or (2) any other matter relating to the actions and practices of DTC or any of its direct participants or indirect participants. Transfers between participants in Euroclear and Clearstream will be effected in accordance with their respective rules and operating procedures.</w:t>
      </w:r>
    </w:p>
    <w:p>
      <w:pPr>
        <w:spacing w:after="0" w:line="1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DTC has advised us that its current payment practice (for payments of principal, interest and the like) with respect to securities such as the Series M senior notes is to credit the accounts of the relevant direct participants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such payment on the payment date in amounts proportionate to such direct participant’s respective ownership interests in the Global Notes as shown on DTC’s records. Payments by direct participants and indirect participants to the beneficial owners of the Series M senior notes will be governed by standing instructions and customary practices between them and will not be the responsibility of DTC, the Trustee or us. Neither of us or the Trustee will be liable for any delay by DTC or its direct participants or indirect participants in identifying the beneficial owners of the Series M senior notes, and we and the Trustee may conclusively rely on and will be protected in relying on instructions from DTC or its nominee as the registered owner of the Series M senior notes for all purposes.</w:t>
      </w:r>
    </w:p>
    <w:p>
      <w:pPr>
        <w:spacing w:after="0" w:line="1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Global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DTC has advised that it will take any action permitted to be taken by a holder of Series M senior notes only at the direction of one or more direct participants to whose account interests in the Global Notes are credited and only in respect of such portion of the aggregate principal amount of the Series M senior notes as to which such direct participant or direct participants has or have given direction. However, if there is an Event of Default under the Series M senior notes, DTC reserves the right to exchange Global Notes (without the direction of one or more of its direct participants) for legended Series M senior notes in certificated form, and to distribute such certificated forms of Series M senior notes to its direct participants. See “—Transfers of Interests in Global Notes for Certificated Notes.”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its book-entry system and Euroclear and Clearstream has been obtained from sources that we believe to be reliable, but we take no responsibility for its accuracy.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Interests in Global Notes for Certificated Notes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 entire Global Note may be exchanged for definitive notes in registered, certificated form without interest coupons if (1) DTC (x) notifies us that it is unwilling or unable to continue as Depositary for the Global Notes and we thereupon fail to appoint a successor Depositary within 90 days or (y) has ceased to be a clearing agency registered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we thereupon fail to appoint a successor Depositary, (2) we, at our option, notify the Trustee in writing that we elect to cause the issuance of certificated notes or (3) upon the request of the Trustee or holders of a majority of the outstanding principal amount of Series M senior notes, if there shall have occurred and be continuing a Default or an Event of Default with respect to the Series M senior notes. In any such case, we will notify the Trustee in writing that, upon surrender by the direct participants and indirect participants of their interest in such Global Note, certificated notes will be issued to each person that such direct participants and indirect participants and DTC identify as being the beneficial owner of the related Series M senior notes.</w:t>
      </w:r>
    </w:p>
    <w:p>
      <w:pPr>
        <w:spacing w:after="0" w:line="1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Beneficial interests in Global Notes held by any direct participant or indirect participant may be exchanged for certificated notes upon request to DTC, by such direct participant (for itself or on behalf of an indirect participant), and to the Trustee in accordance with customary DTC procedures, certificated notes delivered in exchange for any beneficial interest in any Global Notes will be registered in the names, and issued in any approved denominations, requested by DTC on behalf of such direct participants or indirect participants (in accordance with DTC’s customary procedures).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Neither of us nor the Trustee will be liable for any delay by the holder of any Global Notes or DTC in identifying the beneficial owners of Series M senior notes, and we and the Trustee may conclusively rely on, and will be protected in relying on, instructions from the holder of the Global Note or DTC for all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Indenture requires that payments in respect of the Series M senior notes represented by the Global Notes (including principal, premium, if any, interest and liquidated damages, if any) be made by wire transfer of immediately available same day funds to the accounts specified by the holder of interests in such Global Note.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respect to certificated notes, we will make all payments of principal, premium, if any, interest and liquidated damages, if any, by wire transfer of immediately available same day funds to the accounts specified by the holders thereof or, if no such account is specified, by mailing a check to each such holder’s registered address. The Series M senior notes represented by the Global Notes are expected to trade in DTC’s Same-Day Funds Settlement System, and any permitted secondary market trading activity in such Series M senior notes will, therefore, be required by DTC to be settled in immediately available funds. We expect that secondary trading in the certificated notes will also be settled in immediately available funds.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Participant or Clearstream Participant purchasing an interest in a Global Note from a direct participant will be credited, and any such crediting will be reported to the relevant Euroclear Participant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Participant or Clearstream Participant to a direct participant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United States federal income tax consequences relevant to the purchase, ownership and disposition of the Series M senior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Treasury Regulations promulgated thereunder, judicial decisions and published rulings and administrative pronouncements of the U.S. Internal Revenue Service (the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in each case in effect as of the date hereof. These authorities may change or be subject to differing interpretations. Any such change or differing interpretation may be applied retroactively in a manner that could adversely affect a holder of the Series M senior notes.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Series M senior notes.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discussion is limited to holders who hold the Series M senior notes as “capital assets” within the meaning of Section 1221 of the Code (generally, property held for investment). In addition, this discussion is limited to persons purchasing the Series M senior notes for cash at original issue and at their original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Series M senior notes is sold to the public for cash). This discussion does not address all U.S. federal income tax consequences relevant to a holder’s particular circumstances, including the impact of the Medicare contribution tax on net investment income. In addition, it does not address consequences relevant to holders subject to special rules, including, without limitation:</w:t>
      </w:r>
    </w:p>
    <w:p>
      <w:pPr>
        <w:spacing w:after="0" w:line="13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Series M senior notes as part of a hedge, straddle or other risk 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Series M senior notes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Series E senior notes that are being redeemed with the proceeds of this offering of Series M senior notes; and</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Series M senior notes being taken into account in an applicable financial statement.</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the Series M senior notes, the tax treatment of a partner in the partnership will depend on the status of the partner, the activities of the partnership and certain determinations made at the partner level. Accordingly, partnerships holding the Series M senior notes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in such partnerships should consult their tax advisors regarding the U.S. federal income tax consequences to them.</w:t>
      </w:r>
    </w:p>
    <w:p>
      <w:pPr>
        <w:spacing w:after="0" w:line="1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THE SERIES M SENIOR NOTES ARISING UNDER OTHER U.S. FEDERAL TAX LAWS (INCLUDING ESTATE AND GIFT TAX LAWS), UNDER THE LAWS OF ANY STATE, LOCAL OR NON-U.S. TAXING JURISDICTION OR UNDER ANY APPLICABLE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U.S. Holder</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a Series M senior note that, for U.S. federal income tax purposes, is or is treated as:</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Interest on a Series M senior note generally will be taxable to a U.S. Holder as ordinary income at the time such interest is received or accrued, in accordance with such U.S. Holder’s method of tax accounting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U.S. Holder will recognize gain or loss on the sale, exchange, redemption, retirement or other taxable disposition of a Series M senior note. The amount of such gain or loss will generally equal the difference between the amount received for the Series M senior note in cash or other property valued at fair market value (less amounts attributable to any accrued but unpaid interest, which will be taxable as interest to the extent not previously included in income) and the U.S. Holder’s adjusted tax basis in the Series M senior note. A U.S. Holder’s adjusted tax basis in a Series M senior note generally will be equal to the amount the U.S. Holder paid for the Series M senior note. Any gain or loss will be capital gain or loss, and will be long-term capital gain or loss if the U.S. Holder has held the Series M senior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a Series M senior note or receives proceeds from the sale or other taxable disposition of a Series M senior note (including a redemption or retirement of a Series M senior note). Certain U.S. Holders are exempt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backup withholding, including corporations and certain tax-exempt organizations. A U.S. Holder will be subject to backup withholding if such holder is not otherwise exempt and:</w:t>
      </w:r>
    </w:p>
    <w:p>
      <w:pPr>
        <w:spacing w:after="0" w:line="10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Non-U.S. Holder</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a Series M senior note that is neither a U.S. Holder nor an entity treated as a partnership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paid or accrued on a Series M senior note to a Non-U.S. Holder that is not effectively connected with the Non-U.S. Holder’s conduct of a trade or business within the United States generally will not be subject to U.S. federal income tax or withholding tax, provided that:</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our capital or profits;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us through actual or constructive stock ownership; and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Series M senior note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 agent; or (3) the Non-U.S. Holder holds its note directly through a “qualified intermediary” (within the meaning of applicable Treasury Regulations) and certain conditions are satisfied.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non-U.S. Holder does not satisfy the requirements above, interest paid on a Series M senior note will generally be subject to withholding tax of 30% (or such lower rate specified by an applicable income tax treaty). To claim a reduction in or exemption from withholding under an applicable tax treaty,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Series M senior note is not subject to withholding tax because it is effectively connected with the conduct by the Non-U.S. Holder of a trade or business within the United States.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applicable to U.S. persons. A Non-U.S. Holder that is a corporation also may be subject to a branch profits tax at a rate of 30% (or such lower rate specified by an applicable income tax treaty) on such effectively connected interest, as adjusted for certain items.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exchange, redemption, retirement or other taxable disposition of a Series M senior note (such amount excludes any amount allocable to accrued and unpaid interest, which generally will be treated as interest and may be subject to the rules discussed above in “—Tax Consequences Applicable to Non-U.S. Holders—Interest”) unless:</w:t>
      </w:r>
    </w:p>
    <w:p>
      <w:pPr>
        <w:spacing w:after="0" w:line="122" w:lineRule="exact"/>
        <w:rPr>
          <w:sz w:val="20"/>
          <w:szCs w:val="20"/>
          <w:color w:val="auto"/>
        </w:rPr>
      </w:pPr>
    </w:p>
    <w:p>
      <w:pPr>
        <w:ind w:left="660" w:right="60" w:hanging="328"/>
        <w:spacing w:after="0" w:line="312"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85"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U.S. persons. A Non-U.S. Holder that is a foreign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right="168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their tax advisors regarding any applicable income tax treaties that may provide for different rules. </w:t>
      </w:r>
      <w:r>
        <w:rPr>
          <w:rFonts w:ascii="Times New Roman" w:cs="Times New Roman" w:eastAsia="Times New Roman" w:hAnsi="Times New Roman"/>
          <w:sz w:val="18"/>
          <w:szCs w:val="18"/>
          <w:b w:val="1"/>
          <w:bCs w:val="1"/>
          <w:i w:val="1"/>
          <w:iCs w:val="1"/>
          <w:color w:val="auto"/>
        </w:rPr>
        <w:t>Information Reporting and Backup Withholding</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Payments of interest generally will not be subject to backup withholding, provided the applicable withholding agent does not have actual knowledge or reason to know the holder is a United States person and the holder certifies its non-U.S. status as described above under “—Tax Consequences Applicable to Non-U.S. Holders—Interest.” However, information returns are required to be filed with the IRS in connection with any interest paid to the Non-U.S. Holder, regardless of whether any tax was actually withheld. In addition, proceeds of the sale or other taxable disposition of a Series M senior note (including a retirement or redemption of the Series M senior note)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establishes an exemption. Proceeds of a disposition of a Series M senior note paid outside the United States and conducted through a non-U.S. office of a non-U.S. broker generally will not be subject to backup withholding or information reporting.</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on certain types of payments made to non-U.S. financial institutions and certain other non-U.S. entities. Specifically, a 30% withholding tax may be imposed on payments of interest on, or (subject to the proposed Treasury Regulations discussed below) gross proceeds from the sale or other disposition of, a Series M senior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interest on a Series M senior note. While withholding under FATCA would have applied also to payments of gross proceeds from the sale or other disposition of a Series M senior note, proposed Treasury Regulations eliminate FATCA withholding on payments of gross proceeds entirely. Taxpayers generally may rely on these proposed Treasury Regulations until final Treasury Regulations are issued.</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the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Morgan Stanley &amp; Co. LLC, BofA Securities, Inc. and J.P. Morgan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Series M senior notes set forth opposite its name below at the public offering price less the underwriting discount set forth on the cover page of this prospectus supplement.</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760" w:type="dxa"/>
            <w:vAlign w:val="bottom"/>
          </w:tcPr>
          <w:p>
            <w:pPr>
              <w:jc w:val="center"/>
              <w:ind w:left="4428"/>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90"/>
        </w:trPr>
        <w:tc>
          <w:tcPr>
            <w:tcW w:w="5300" w:type="dxa"/>
            <w:vAlign w:val="bottom"/>
            <w:vMerge w:val="continue"/>
          </w:tcPr>
          <w:p>
            <w:pPr>
              <w:spacing w:after="0"/>
              <w:rPr>
                <w:sz w:val="16"/>
                <w:szCs w:val="16"/>
                <w:color w:val="auto"/>
              </w:rPr>
            </w:pPr>
          </w:p>
        </w:tc>
        <w:tc>
          <w:tcPr>
            <w:tcW w:w="5760" w:type="dxa"/>
            <w:vAlign w:val="bottom"/>
          </w:tcPr>
          <w:p>
            <w:pPr>
              <w:jc w:val="center"/>
              <w:ind w:left="442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40"/>
        <w:spacing w:after="0"/>
        <w:tabs>
          <w:tab w:leader="none" w:pos="968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43180</wp:posOffset>
            </wp:positionV>
            <wp:extent cx="9944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Series M senior notes sold under the underwriting agreement if any of these Series M senior notes are purchased. If an underwriter defaults, the underwriting agreement provides that the purchase commitments of the non-defaulting underwriters may be increased or the underwriting agreement may be terminated. The offering of the Series M senior notes by the underwriters is subject to receipt and acceptance and subject to the underwriters’ right to reject any order in whole or in part.</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Series M senior notes, subject to prior sale, when, as and if issued to and accepted by them, subject to approval of legal matters by their counsel, including the validity of the Series M senior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representatives have advised us that the underwriters propose initially to offer the Series M senior notes to the public at the public offering price set forth on the cover page of this prospectus supplement and may offer the Series M senior notes to certain dealers at a price that represents a concession not</w:t>
      </w:r>
    </w:p>
    <w:tbl>
      <w:tblPr>
        <w:tblLayout w:type="fixed"/>
        <w:tblInd w:w="0" w:type="dxa"/>
        <w:tblCellMar>
          <w:top w:w="0" w:type="dxa"/>
          <w:left w:w="0" w:type="dxa"/>
          <w:bottom w:w="0" w:type="dxa"/>
          <w:right w:w="0" w:type="dxa"/>
        </w:tblCellMar>
      </w:tblPr>
      <w:tr>
        <w:trPr>
          <w:trHeight w:val="198"/>
        </w:trPr>
        <w:tc>
          <w:tcPr>
            <w:tcW w:w="12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in excess of</w:t>
            </w:r>
          </w:p>
        </w:tc>
        <w:tc>
          <w:tcPr>
            <w:tcW w:w="10040" w:type="dxa"/>
            <w:vAlign w:val="bottom"/>
            <w:gridSpan w:val="3"/>
          </w:tcPr>
          <w:p>
            <w:pPr>
              <w:jc w:val="right"/>
              <w:ind w:right="36"/>
              <w:spacing w:after="0" w:line="199" w:lineRule="exact"/>
              <w:rPr>
                <w:sz w:val="20"/>
                <w:szCs w:val="20"/>
                <w:color w:val="auto"/>
              </w:rPr>
            </w:pPr>
            <w:r>
              <w:rPr>
                <w:rFonts w:ascii="Times New Roman" w:cs="Times New Roman" w:eastAsia="Times New Roman" w:hAnsi="Times New Roman"/>
                <w:sz w:val="18"/>
                <w:szCs w:val="18"/>
                <w:color w:val="auto"/>
              </w:rPr>
              <w:t>% of the principal amount of the Series M senior notes. The underwriters may allow, and such dealers may re-allow, a concession not</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00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 of the principal amount of the Series M senior notes to certain other dealers. After the initial offering, the public offering price or</w:t>
            </w:r>
          </w:p>
        </w:tc>
      </w:tr>
      <w:tr>
        <w:trPr>
          <w:trHeight w:val="234"/>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any other term of the offering may be changed.</w:t>
            </w:r>
          </w:p>
        </w:tc>
        <w:tc>
          <w:tcPr>
            <w:tcW w:w="1560" w:type="dxa"/>
            <w:vAlign w:val="bottom"/>
          </w:tcPr>
          <w:p>
            <w:pPr>
              <w:spacing w:after="0"/>
              <w:rPr>
                <w:sz w:val="20"/>
                <w:szCs w:val="20"/>
                <w:color w:val="auto"/>
              </w:rPr>
            </w:pPr>
          </w:p>
        </w:tc>
      </w:tr>
      <w:tr>
        <w:trPr>
          <w:trHeight w:val="378"/>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w:t>
            </w:r>
          </w:p>
        </w:tc>
        <w:tc>
          <w:tcPr>
            <w:tcW w:w="1560" w:type="dxa"/>
            <w:vAlign w:val="bottom"/>
          </w:tcPr>
          <w:p>
            <w:pPr>
              <w:spacing w:after="0"/>
              <w:rPr>
                <w:sz w:val="24"/>
                <w:szCs w:val="24"/>
                <w:color w:val="auto"/>
              </w:rPr>
            </w:pPr>
          </w:p>
        </w:tc>
      </w:tr>
      <w:tr>
        <w:trPr>
          <w:trHeight w:val="368"/>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by Host L.P.</w:t>
            </w:r>
          </w:p>
        </w:tc>
      </w:tr>
      <w:tr>
        <w:trPr>
          <w:trHeight w:val="23"/>
        </w:trPr>
        <w:tc>
          <w:tcPr>
            <w:tcW w:w="9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Series M senior note.</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$1,700,000 and are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 trading market. We do not intend to apply for listing of the Series M senior notes on any securities exchange or for inclusion of the Series M senior notes on any automated dealer quotation system. We have been advised by the underwriters that they presently intend to make a market in the Series M senior notes after completion of the offering. However, they are under no obligation to do so and may discontinue any market-making activities at any time without any notice. We cannot assure the liquidity of the trading market for the Series M senior notes or that an active public market for the Series M senior notes will develop. If an active public trading market for the Series M senior notes does not develop, the market price and liquidity of the Series M senior notes may be adversely affected. If the Series M senior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that delivery of the Series M senior notes will be made to investors on or about , 2025, which will be the business day following the date of this prospectus supplement (such settlement being referred to as “</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color w:val="auto"/>
        </w:rPr>
        <w:t xml:space="preserve"> ”). Under Rule 15c6-1 under the Exchange Act, trades in the</w:t>
      </w:r>
    </w:p>
    <w:p>
      <w:pPr>
        <w:spacing w:after="0" w:line="253" w:lineRule="auto"/>
        <w:rPr>
          <w:sz w:val="20"/>
          <w:szCs w:val="20"/>
          <w:color w:val="auto"/>
        </w:rPr>
      </w:pPr>
      <w:r>
        <w:rPr>
          <w:rFonts w:ascii="Times New Roman" w:cs="Times New Roman" w:eastAsia="Times New Roman" w:hAnsi="Times New Roman"/>
          <w:sz w:val="18"/>
          <w:szCs w:val="18"/>
          <w:color w:val="auto"/>
        </w:rPr>
        <w:t>secondary market are required to settle in one business day, unless the parties to any such trade expressly agree otherwise. Accordingly, purchasers who wish to trade Series M senior notes on any date that is more than one business day prior to the date of delivery of the Series M senior notes will be required, by virtue of the fact that the Series M senior notes initially settle in T+ , to specify an alternate settlement arrangement at the time of any such trade to prevent a failed settlement. Purchasers of the Series M senior notes who wish to trade the Series M senior notes on any date that is more than one business day prior to the date of delivery of the Series M senior notes should consult their advisors.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agreed that we will not, from the date of this prospectus supplement through the settlement date, without first obtaining the prior written consent of the representatives, directly or indirectly, offer, sell, contract to sell or otherwise transfer or dispose of any debt securities or any warrants, rights or options to purchase or otherwise acquire debt securities substantially similar to the Series M senior notes, except for the Series M senior notes sold to the underwriters pursuant to the underwriting agreement and commercial paper issued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Series M senior notes in the open market. These transactions may include short sales and purchases on the open market to cover positions created by short sales. Short sales involve the sale by the underwriters of a greater principal amount of Series M senior notes than they are required to purchase in the offering. The underwriters must close out any short position by purchasing Series M senior notes in the open market. A short position is more likely to be created if the underwriters are concerned that there may be downward pressure on the price of the Series M senior notes in the open market after pricing that could adversely affect investors who purchase in the offering.</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Series M senior notes or preventing or slowing a decline in the market price of the Series M senior notes. As a result, the price of the Series M senior notes may be higher than the price that might otherwise exist in the open market.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Series M senior notes. In addition, neither we nor any of the underwriters make any representation that the representatives will engage in these transactions or that these transactions, once commenced, will not be discontinued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and have in the past and may in the future engage in various activities, which may include securities trading, investment banking, commercial banking, financial advisory, investment management, investment research, principal investment, hedging, financing and brokerage activities or other transactions of a financial nature with us or our affiliates, including the provision of advisory services and the making of loans to us and our affiliates, for which they would receive customary fees. In particular, Morgan Stanley Senior Funding, Inc., an affiliate of Morgan Stanley &amp; Co. LLC, is a documentation agent and a lender, Morgan Stanley Bank, N.A., an affiliate of Morgan Stanley &amp; Co. LLC, is a lender, Bank of America, N.A., an affiliate of BofA Securities, Inc., is the administrative agent and a lender, JPMorgan Chase Bank, N.A., an affiliate of J.P. Morgan Securities LLC, is a co-syndication agent and a lender, Wells Fargo Bank, N.A., an affiliate of Wells Fargo Securities, LLC, is a co-syndication agent and a lender, Goldman Sachs Bank USA, an affiliate of Goldman Sachs &amp; Co., is a documentation agent and a lender, and Truist Bank, N.A., an affiliate of Truist Securities, Inc., is a documentation agent and a joint lead arranger, in each case under our Credit Facility.</w:t>
      </w:r>
    </w:p>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described above under “Use of Proceeds,” we intend to use net proceeds from this offering to redeem all of the outstanding $500 million aggregate principal amount of our Series E senior notes. Certain of the underwriters or their affiliates may hold our Series E senior notes and, as a result of the redemption thereof as set forth under the heading “Use of Proceeds” in this prospectus supplement, may receive a portion of the net proceeds from this offering. In addition, some of the underwriters or their affiliates that have a lending relationship with us routinely hedge, are likely to hedge, or may, in the future,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Series M senior notes offered hereby. Any such credit default swaps or short positions could adversely affect future trading prices of the Series M senior notes offered hereby.</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our securities and/or other of our financial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Series M senior notes are not intended to be offered, sold or otherwise made available to and should not be offered, sold or otherwise made available to any retail investor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For these purposes, a retail investor means a person who is one (or more) of: (i) a retail client as defined in point (11) of Article 4(1) of Directive 2014/65/EU (as amended, “</w:t>
      </w:r>
      <w:r>
        <w:rPr>
          <w:rFonts w:ascii="Times New Roman" w:cs="Times New Roman" w:eastAsia="Times New Roman" w:hAnsi="Times New Roman"/>
          <w:sz w:val="18"/>
          <w:szCs w:val="18"/>
          <w:i w:val="1"/>
          <w:iCs w:val="1"/>
          <w:color w:val="auto"/>
        </w:rPr>
        <w:t>MiFID II</w:t>
      </w:r>
      <w:r>
        <w:rPr>
          <w:rFonts w:ascii="Times New Roman" w:cs="Times New Roman" w:eastAsia="Times New Roman" w:hAnsi="Times New Roman"/>
          <w:sz w:val="18"/>
          <w:szCs w:val="18"/>
          <w:color w:val="auto"/>
        </w:rPr>
        <w:t>”); (ii) a customer within the meaning of Directive (EU) 2016/97 (as amended, the “</w:t>
      </w:r>
      <w:r>
        <w:rPr>
          <w:rFonts w:ascii="Times New Roman" w:cs="Times New Roman" w:eastAsia="Times New Roman" w:hAnsi="Times New Roman"/>
          <w:sz w:val="18"/>
          <w:szCs w:val="18"/>
          <w:i w:val="1"/>
          <w:iCs w:val="1"/>
          <w:color w:val="auto"/>
        </w:rPr>
        <w:t>Insurance Distribution Directive</w:t>
      </w:r>
      <w:r>
        <w:rPr>
          <w:rFonts w:ascii="Times New Roman" w:cs="Times New Roman" w:eastAsia="Times New Roman" w:hAnsi="Times New Roman"/>
          <w:sz w:val="18"/>
          <w:szCs w:val="18"/>
          <w:color w:val="auto"/>
        </w:rPr>
        <w:t>”), where that customer would not qualify as a professional client as defined in point (10) of Article 4(1) of MiFID II; or (iii) not a qualified investor as defined in Regulation (EU) 2017/1129 (as amended, the “</w:t>
      </w:r>
      <w:r>
        <w:rPr>
          <w:rFonts w:ascii="Times New Roman" w:cs="Times New Roman" w:eastAsia="Times New Roman" w:hAnsi="Times New Roman"/>
          <w:sz w:val="18"/>
          <w:szCs w:val="18"/>
          <w:i w:val="1"/>
          <w:iCs w:val="1"/>
          <w:color w:val="auto"/>
        </w:rPr>
        <w:t>Prospectus Regulation</w:t>
      </w:r>
      <w:r>
        <w:rPr>
          <w:rFonts w:ascii="Times New Roman" w:cs="Times New Roman" w:eastAsia="Times New Roman" w:hAnsi="Times New Roman"/>
          <w:sz w:val="18"/>
          <w:szCs w:val="18"/>
          <w:color w:val="auto"/>
        </w:rPr>
        <w:t>”). Consequently no key information document required by Regulation (EU) No 1286/2014 (as amended, the “</w:t>
      </w:r>
      <w:r>
        <w:rPr>
          <w:rFonts w:ascii="Times New Roman" w:cs="Times New Roman" w:eastAsia="Times New Roman" w:hAnsi="Times New Roman"/>
          <w:sz w:val="18"/>
          <w:szCs w:val="18"/>
          <w:i w:val="1"/>
          <w:iCs w:val="1"/>
          <w:color w:val="auto"/>
        </w:rPr>
        <w:t>PRIIPs Regulation</w:t>
      </w:r>
      <w:r>
        <w:rPr>
          <w:rFonts w:ascii="Times New Roman" w:cs="Times New Roman" w:eastAsia="Times New Roman" w:hAnsi="Times New Roman"/>
          <w:sz w:val="18"/>
          <w:szCs w:val="18"/>
          <w:color w:val="auto"/>
        </w:rPr>
        <w:t>”) for offering or selling the Series M senior notes or otherwise making them available to retail investors in the EEA has been prepared and therefore offering or selling the Series M senior notes or otherwise making them available to any retail investor in the EEA may be unlawful under the PRIIPS Regulation. This prospectus supplement and the accompanying prospectus have been prepared on the basis that any offer of Series M senior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Series M senior notes are not intended to be offered, sold or otherwise made available to and should not be offered, sold or otherwise made available to any retail investor in the United Kingdom (the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For these purposes, a retail investor means a person who is one (or more) of: (i) a retail client as defined in point (8) of Article 2 of Regulation (EU) No 2017/565 as it forms part of domestic law in the UK by virtue of the European Union (Withdrawal) Act 2018 (the “</w:t>
      </w:r>
      <w:r>
        <w:rPr>
          <w:rFonts w:ascii="Times New Roman" w:cs="Times New Roman" w:eastAsia="Times New Roman" w:hAnsi="Times New Roman"/>
          <w:sz w:val="18"/>
          <w:szCs w:val="18"/>
          <w:i w:val="1"/>
          <w:iCs w:val="1"/>
          <w:color w:val="auto"/>
        </w:rPr>
        <w:t>EUWA</w:t>
      </w:r>
      <w:r>
        <w:rPr>
          <w:rFonts w:ascii="Times New Roman" w:cs="Times New Roman" w:eastAsia="Times New Roman" w:hAnsi="Times New Roman"/>
          <w:sz w:val="18"/>
          <w:szCs w:val="18"/>
          <w:color w:val="auto"/>
        </w:rPr>
        <w:t>”); (ii) a customer within the meaning of the provisions of the Financial Services and Markets Act 2000 (as amended, the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and any rules or regulations made under the FSMA to implement Directive (EU) 2016/97, where that customer would not qualify as a professional client as defined in point (8) of Article 2(1) of Regulation (EU) No 600/2014 as it forms part of domestic law in the UK by virtue of the EUWA; or (iii) not a qualified investor as defined in Article 2 of Regulation (EU) 2017/1129 as it forms part of domestic law in the UK by virtue of the EUWA (as amended, the “</w:t>
      </w:r>
      <w:r>
        <w:rPr>
          <w:rFonts w:ascii="Times New Roman" w:cs="Times New Roman" w:eastAsia="Times New Roman" w:hAnsi="Times New Roman"/>
          <w:sz w:val="18"/>
          <w:szCs w:val="18"/>
          <w:i w:val="1"/>
          <w:iCs w:val="1"/>
          <w:color w:val="auto"/>
        </w:rPr>
        <w:t>UK Prospectus Regulation</w:t>
      </w:r>
      <w:r>
        <w:rPr>
          <w:rFonts w:ascii="Times New Roman" w:cs="Times New Roman" w:eastAsia="Times New Roman" w:hAnsi="Times New Roman"/>
          <w:sz w:val="18"/>
          <w:szCs w:val="18"/>
          <w:color w:val="auto"/>
        </w:rPr>
        <w:t>”). Consequently no key information document required by Regulation (EU) No 1286/2014 as it forms part of domestic law in the UK by virtue of the EUWA (the “</w:t>
      </w:r>
      <w:r>
        <w:rPr>
          <w:rFonts w:ascii="Times New Roman" w:cs="Times New Roman" w:eastAsia="Times New Roman" w:hAnsi="Times New Roman"/>
          <w:sz w:val="18"/>
          <w:szCs w:val="18"/>
          <w:i w:val="1"/>
          <w:iCs w:val="1"/>
          <w:color w:val="auto"/>
        </w:rPr>
        <w:t>UK PRIIPs Regulation</w:t>
      </w:r>
      <w:r>
        <w:rPr>
          <w:rFonts w:ascii="Times New Roman" w:cs="Times New Roman" w:eastAsia="Times New Roman" w:hAnsi="Times New Roman"/>
          <w:sz w:val="18"/>
          <w:szCs w:val="18"/>
          <w:color w:val="auto"/>
        </w:rPr>
        <w:t>”) for offering or selling the Series M senior notes or otherwise making them available to retail investors in the UK has been prepared and therefore offering or selling the Series M senior notes or otherwise making them available to any retail investor in the UK may be unlawful under the UK PRIIPs Regulation. This prospectus supplement and the accompanying prospectus have been prepared on the basis that any offer of Series M senior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UK, 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w:t>
      </w:r>
      <w:r>
        <w:rPr>
          <w:rFonts w:ascii="Times New Roman" w:cs="Times New Roman" w:eastAsia="Times New Roman" w:hAnsi="Times New Roman"/>
          <w:sz w:val="18"/>
          <w:szCs w:val="18"/>
          <w:i w:val="1"/>
          <w:iCs w:val="1"/>
          <w:color w:val="auto"/>
        </w:rPr>
        <w:t>Financial Promotion Order</w:t>
      </w:r>
      <w:r>
        <w:rPr>
          <w:rFonts w:ascii="Times New Roman" w:cs="Times New Roman" w:eastAsia="Times New Roman" w:hAnsi="Times New Roman"/>
          <w:sz w:val="18"/>
          <w:szCs w:val="18"/>
          <w:color w:val="auto"/>
        </w:rPr>
        <w:t>”);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in the UK by persons who are not relevant persons. In the UK, any investment or investment activity to which this document relates is available only to relevant persons and will be engaged in only with relevant persons.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nor any other offering or marketing material relating to the offering, the Company or the Series M senior notes is intended to constitute an offer or solicitation to purchase or invest in the Series M senior notes. The Series M senior notes may not be publicly offered, directly or indirectly, in Switzerland within the meaning of the Swiss Financial Services Act (“</w:t>
      </w:r>
      <w:r>
        <w:rPr>
          <w:rFonts w:ascii="Times New Roman" w:cs="Times New Roman" w:eastAsia="Times New Roman" w:hAnsi="Times New Roman"/>
          <w:sz w:val="18"/>
          <w:szCs w:val="18"/>
          <w:i w:val="1"/>
          <w:iCs w:val="1"/>
          <w:color w:val="auto"/>
        </w:rPr>
        <w:t>FinSA</w:t>
      </w:r>
      <w:r>
        <w:rPr>
          <w:rFonts w:ascii="Times New Roman" w:cs="Times New Roman" w:eastAsia="Times New Roman" w:hAnsi="Times New Roman"/>
          <w:sz w:val="18"/>
          <w:szCs w:val="18"/>
          <w:color w:val="auto"/>
        </w:rPr>
        <w:t>”) and no application has or will be made to admit the Series M senior notes to trading on any trading venue (exchange or multilateral trading facility) in Switzerland. Neither this prospectus supplement, the accompanying prospectus nor any other offering or marketing material relating to the offering, the Company or the Series M senior notes constitutes a prospectus pursuant to the FinSA, and neither this prospectus supplement, the accompanying prospectus nor any other offering or marketing material relating to the offering, the Company or the Series M senior notes may be publicly distributed or otherwise made publicly available in Switzerland.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DFSA</w:t>
      </w:r>
      <w:r>
        <w:rPr>
          <w:rFonts w:ascii="Times New Roman" w:cs="Times New Roman" w:eastAsia="Times New Roman" w:hAnsi="Times New Roman"/>
          <w:sz w:val="18"/>
          <w:szCs w:val="18"/>
          <w:color w:val="auto"/>
        </w:rPr>
        <w:t>”).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Exempt Offers. The DFSA has not approved this prospectus supplement nor taken steps to verify the information set forth herein and has no responsibility for the prospectus supplement. The Series M senior notes to which this prospectus supplement relates may be illiquid and/or subject to restrictions on their resale. Prospective purchasers of the Series M senior notes offered should conduct their own due diligence on the Series M senior notes. If you do not understand the contents of this prospectus supplement you should consult an authorized financial advisor.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Series M senior notes may not be offered or sold in Hong Kong by means of any document other than (a) to “professional investors” as defined in the Securities and Futures Ordinance (Cap.571 of the Laws of Hong Kong) (the “</w:t>
      </w:r>
      <w:r>
        <w:rPr>
          <w:rFonts w:ascii="Times New Roman" w:cs="Times New Roman" w:eastAsia="Times New Roman" w:hAnsi="Times New Roman"/>
          <w:sz w:val="18"/>
          <w:szCs w:val="18"/>
          <w:i w:val="1"/>
          <w:iCs w:val="1"/>
          <w:color w:val="auto"/>
        </w:rPr>
        <w:t>SFO</w:t>
      </w:r>
      <w:r>
        <w:rPr>
          <w:rFonts w:ascii="Times New Roman" w:cs="Times New Roman" w:eastAsia="Times New Roman" w:hAnsi="Times New Roman"/>
          <w:sz w:val="18"/>
          <w:szCs w:val="18"/>
          <w:color w:val="auto"/>
        </w:rPr>
        <w:t>”) and any rules made thereunder or (b) in other circumstances which do not result in the document being a “prospectus” as defined in the Companies (Winding Up and Miscellaneous Provisions) Ordinance (Cap.32 of the Laws of Hong Kong) (the “</w:t>
      </w:r>
      <w:r>
        <w:rPr>
          <w:rFonts w:ascii="Times New Roman" w:cs="Times New Roman" w:eastAsia="Times New Roman" w:hAnsi="Times New Roman"/>
          <w:sz w:val="18"/>
          <w:szCs w:val="18"/>
          <w:i w:val="1"/>
          <w:iCs w:val="1"/>
          <w:color w:val="auto"/>
        </w:rPr>
        <w:t>CO</w:t>
      </w:r>
      <w:r>
        <w:rPr>
          <w:rFonts w:ascii="Times New Roman" w:cs="Times New Roman" w:eastAsia="Times New Roman" w:hAnsi="Times New Roman"/>
          <w:sz w:val="18"/>
          <w:szCs w:val="18"/>
          <w:color w:val="auto"/>
        </w:rPr>
        <w:t>”) or which do not constitute an offer to the public within the meaning of the CO. No advertisement, invitation or document relating to the Series M senior notes may be issued or may be in the possession of any person for the purpose of issue (in each case whether in Hong Kong or elsewhere), which is directed at, or the contents of which are likely to be accessed or read by, the public of Hong Kong (except if permitted to do so under the securities laws of Hong Kong) other than with respect to the Series M senior notes which are or are intended to be disposed of only to persons outside Hong Kong or only to “professional investors” as defined in the SFO and any rules made thereunder.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Series M senior notes may not be circulated or distributed, nor may the Series M senior notes be offered or sold, or be made the subject of an invitation for subscription or purchase, whether directly or indirectly, to persons in Singapore other than: (i) to an institutional investor (as defined in Section 4A of the Securities and Futures Act (Chapter 289) of Singapore, as modified or amended from time to time (the “</w:t>
      </w:r>
      <w:r>
        <w:rPr>
          <w:rFonts w:ascii="Times New Roman" w:cs="Times New Roman" w:eastAsia="Times New Roman" w:hAnsi="Times New Roman"/>
          <w:sz w:val="18"/>
          <w:szCs w:val="18"/>
          <w:i w:val="1"/>
          <w:iCs w:val="1"/>
          <w:color w:val="auto"/>
        </w:rPr>
        <w:t>SFA</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i w:val="1"/>
          <w:iCs w:val="1"/>
          <w:color w:val="auto"/>
        </w:rPr>
        <w:t>Institutional Investor</w:t>
      </w:r>
      <w:r>
        <w:rPr>
          <w:rFonts w:ascii="Times New Roman" w:cs="Times New Roman" w:eastAsia="Times New Roman" w:hAnsi="Times New Roman"/>
          <w:sz w:val="18"/>
          <w:szCs w:val="18"/>
          <w:color w:val="auto"/>
        </w:rPr>
        <w:t>”) pursuant to Section 274 of the SFA; (ii) to a relevant person (as defined in Section 275(2) of the SFA, a “</w:t>
      </w:r>
      <w:r>
        <w:rPr>
          <w:rFonts w:ascii="Times New Roman" w:cs="Times New Roman" w:eastAsia="Times New Roman" w:hAnsi="Times New Roman"/>
          <w:sz w:val="18"/>
          <w:szCs w:val="18"/>
          <w:i w:val="1"/>
          <w:i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pursuant to Section 275(1) of the SFA, or any person pursuant to Section 275(1A) of the SFA, and in accordance with the conditions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275 of the SFA; or (iii) otherwise pursuant to, and in accordance with, the conditions of, any other applicable provision of the SFA.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 condition of the offer that where the Series M senior notes are subscribed for or acquired pursuant to an offer made in reliance on Section 275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 by a Relevant Person which is:</w:t>
      </w:r>
    </w:p>
    <w:p>
      <w:pPr>
        <w:spacing w:after="0" w:line="151" w:lineRule="exact"/>
        <w:rPr>
          <w:sz w:val="20"/>
          <w:szCs w:val="20"/>
          <w:color w:val="auto"/>
        </w:rPr>
      </w:pPr>
    </w:p>
    <w:p>
      <w:pPr>
        <w:ind w:left="660" w:hanging="328"/>
        <w:spacing w:after="0" w:line="284"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an “</w:t>
      </w:r>
      <w:r>
        <w:rPr>
          <w:rFonts w:ascii="Times New Roman" w:cs="Times New Roman" w:eastAsia="Times New Roman" w:hAnsi="Times New Roman"/>
          <w:sz w:val="18"/>
          <w:szCs w:val="18"/>
          <w:i w:val="1"/>
          <w:iCs w:val="1"/>
          <w:color w:val="auto"/>
        </w:rPr>
        <w:t>Accredited Investor</w:t>
      </w:r>
      <w:r>
        <w:rPr>
          <w:rFonts w:ascii="Times New Roman" w:cs="Times New Roman" w:eastAsia="Times New Roman" w:hAnsi="Times New Roman"/>
          <w:sz w:val="18"/>
          <w:szCs w:val="18"/>
          <w:color w:val="auto"/>
        </w:rPr>
        <w:t>”)), the sole business of which is to hold investments and the entire share capital of which is owned by one or more individuals, each of whom is an Accredited Investor; or</w:t>
      </w:r>
    </w:p>
    <w:p>
      <w:pPr>
        <w:spacing w:after="0" w:line="10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securities or securities-based derivatives contracts (each as defined in Section 2(1) of the SFA) of that corporation or the beneficiaries’ rights and interest (howsoever described) in that trust, shall not be transferred within six months after that corporation or that trust has subscribed for or acquired the Series M senior notes except:</w:t>
      </w:r>
    </w:p>
    <w:p>
      <w:pPr>
        <w:spacing w:after="0" w:line="122" w:lineRule="exact"/>
        <w:rPr>
          <w:sz w:val="20"/>
          <w:szCs w:val="20"/>
          <w:color w:val="auto"/>
        </w:rPr>
      </w:pPr>
    </w:p>
    <w:p>
      <w:pPr>
        <w:ind w:left="660" w:right="120" w:hanging="328"/>
        <w:spacing w:after="0" w:line="282"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left="660" w:right="380" w:hanging="328"/>
        <w:spacing w:after="0" w:line="282"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Singapore SFA Product Classification</w:t>
      </w:r>
      <w:r>
        <w:rPr>
          <w:rFonts w:ascii="Times New Roman" w:cs="Times New Roman" w:eastAsia="Times New Roman" w:hAnsi="Times New Roman"/>
          <w:sz w:val="18"/>
          <w:szCs w:val="18"/>
          <w:color w:val="auto"/>
        </w:rPr>
        <w:t>—In connection with Section 309B of the SFA and the CMP Regulations 2018, unless otherwise specified before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of Series M senior notes, we have determined, and hereby notify all relevant persons (as defined in Section 309A(1) of the SFA) that the Series M senior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00"/>
          </w:cols>
          <w:pgMar w:left="320" w:top="1440" w:right="479" w:bottom="1440" w:gutter="0" w:footer="0" w:header="0"/>
        </w:sectPr>
      </w:pPr>
    </w:p>
    <w:bookmarkStart w:id="45" w:name="page46"/>
    <w:bookmarkEnd w:id="4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Latham &amp; Watkins LLP, Washington, District of Columbia will issue an opinion with respect to the validity of the Series M senior notes offered by this prospectus supplement and the accompanying prospectus for us. Certain legal matters relating to this offering will be passed on for the underwriters by Skadden, Arps, Slate, Meagher &amp; Flom LLP, New York, New York.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 consolidated financial statements of Host Hotels &amp; Resorts, Inc. as of December 31, 2024 and 2023, and for each of the years in the three year period ended December 31, 2024, and management’s assessment of the effectiveness of internal control over financial reporting as of December 31, 2024, and (ii) consolidated financial statements of Host Hotels &amp; Resorts, L.P. as of December 31, 2024 and 2023, and for each of the years in the three year period ended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prior to the termination of this offering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 We are not, however, incorporating by reference any documents or portions thereof, whether specifically listed below or filed in the future, that are not deemed “filed” with the SEC. We incorporate by reference the documents listed below and any filings made by us with the SEC pursuant to Section 13(a), 13(c), 14, or 15(d) of the Exchange Act after the date of this prospectus supplement and prior to the termination of this offering (in each case, other than information in such documents that is deemed not to be filed):</w:t>
      </w:r>
    </w:p>
    <w:p>
      <w:pPr>
        <w:spacing w:after="0" w:line="119" w:lineRule="exact"/>
        <w:rPr>
          <w:sz w:val="20"/>
          <w:szCs w:val="20"/>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Combined Annual Report of Host Inc. and Host L.P. on Form 10-K for the fiscal year ended December 31, 2024, filed on </w:t>
      </w:r>
      <w:hyperlink r:id="rId20">
        <w:r>
          <w:rPr>
            <w:rFonts w:ascii="Times New Roman" w:cs="Times New Roman" w:eastAsia="Times New Roman" w:hAnsi="Times New Roman"/>
            <w:sz w:val="18"/>
            <w:szCs w:val="18"/>
            <w:u w:val="single" w:color="auto"/>
            <w:color w:val="0000FF"/>
          </w:rPr>
          <w:t>February 26, 2025</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color w:val="auto"/>
          </w:rPr>
          <w:t xml:space="preserve">(including information specifically incorporated by reference therein from Host Inc.’s Proxy Statement for its 2025 Annual Meeting, filed on </w:t>
        </w:r>
        <w:r>
          <w:rPr>
            <w:rFonts w:ascii="Times New Roman" w:cs="Times New Roman" w:eastAsia="Times New Roman" w:hAnsi="Times New Roman"/>
            <w:sz w:val="18"/>
            <w:szCs w:val="18"/>
            <w:u w:val="single" w:color="auto"/>
            <w:color w:val="0000FF"/>
          </w:rPr>
          <w:t>April</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3, 2025</w:t>
        </w:r>
        <w:r>
          <w:rPr>
            <w:rFonts w:ascii="Times New Roman" w:cs="Times New Roman" w:eastAsia="Times New Roman" w:hAnsi="Times New Roman"/>
            <w:sz w:val="18"/>
            <w:szCs w:val="18"/>
            <w:color w:val="000000"/>
          </w:rPr>
          <w:t>); and</w:t>
        </w:r>
      </w:hyperlink>
    </w:p>
    <w:p>
      <w:pPr>
        <w:spacing w:after="0" w:line="121"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Combined Quarterly Report of Host Inc. and Host L.P. on Form 10-Q for the quarter ended March 31, 2025, filed on </w:t>
      </w:r>
      <w:hyperlink r:id="rId22">
        <w:r>
          <w:rPr>
            <w:rFonts w:ascii="Times New Roman" w:cs="Times New Roman" w:eastAsia="Times New Roman" w:hAnsi="Times New Roman"/>
            <w:sz w:val="18"/>
            <w:szCs w:val="18"/>
            <w:u w:val="single" w:color="auto"/>
            <w:color w:val="0000FF"/>
          </w:rPr>
          <w:t>May 2, 2025</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prospectus is part of a registration statement on Form S-3 we have filed with the SEC under the Securities Act. Neither this prospectus supplement nor the accompanying prospectus contains all of the information in the registration statement. We have omitted certain parts of the registration statement, as permitted by the rules and regulations of the SEC. You may inspect and copy the registration statement, including exhibits, at the SEC’s Public Reference Room or on our website at http://www.hosthotels.com. Information found on, or otherwise accessible through, our website is not incorporated into and should not be deemed a part of this prospectus supplement, the accompanying prospectus or any other report or filing filed with the SEC. Our statements in this prospectus supplement concerning the contents of any contract or other document are not necessarily complete. You should refer to the copy of each contract or other document we have filed as an exhibit to the registration statement for complete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4747 BETHESDA AVE, SUITE 1300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TELEPHONE: (240) 744-1000</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60"/>
          </w:cols>
          <w:pgMar w:left="320" w:top="1440" w:right="41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19685</wp:posOffset>
            </wp:positionV>
            <wp:extent cx="2048510" cy="1474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04851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Host Hotels &amp; Resorts, L.P.</w:t>
      </w:r>
    </w:p>
    <w:p>
      <w:pPr>
        <w:spacing w:after="0" w:line="2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$2,000,000,000</w:t>
      </w:r>
    </w:p>
    <w:p>
      <w:pPr>
        <w:spacing w:after="0" w:line="2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5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may offer and sell up to $2,000,000,000 in the aggregate of the securities identified above from time to time in one or more offerings. We will determine when we sell securities, the amounts of securities we will sell and the prices and other terms on which we will sell them. This prospectus provides you with a general description of the securities.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2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17, 2024.</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64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9"/>
        </w:trPr>
        <w:tc>
          <w:tcPr>
            <w:tcW w:w="6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21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10"/>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9"/>
        </w:trPr>
        <w:tc>
          <w:tcPr>
            <w:tcW w:w="1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18"/>
                <w:szCs w:val="18"/>
                <w:color w:val="auto"/>
              </w:rPr>
            </w:pPr>
          </w:p>
        </w:tc>
        <w:tc>
          <w:tcPr>
            <w:tcW w:w="7600" w:type="dxa"/>
            <w:vAlign w:val="bottom"/>
            <w:gridSpan w:val="8"/>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9"/>
        </w:trPr>
        <w:tc>
          <w:tcPr>
            <w:tcW w:w="3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5860" w:type="dxa"/>
            <w:vAlign w:val="bottom"/>
            <w:gridSpan w:val="2"/>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6820" w:type="dxa"/>
            <w:vAlign w:val="bottom"/>
            <w:gridSpan w:val="4"/>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9"/>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7420" w:type="dxa"/>
            <w:vAlign w:val="bottom"/>
            <w:gridSpan w:val="7"/>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40" w:top="1440" w:right="359" w:bottom="1440" w:gutter="0" w:footer="0" w:header="0"/>
        </w:sectPr>
      </w:pPr>
    </w:p>
    <w:bookmarkStart w:id="49" w:name="page50"/>
    <w:bookmarkEnd w:id="4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“Commission” or “SEC”), using a “shelf” registration process. By using a shelf registration statement, we may sell securities from time to time and in one or more offerings up to a total dollar amount of $2,000,000,000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4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“Host Inc.” mean Host Hotels &amp; Resorts, Inc. and references to “Host L.P.” mean Host Hotels &amp; Resorts, L.P. in cases where it is important to distinguish between Host Inc. and Host L.P. We use the terms “we,” “our” or “the company” to refer to Host Inc. and Host L.P. together, along with Host L.P.’s consolidated subsidiaries, unless the context indicates otherwise. Host Inc. and Host L.P. file combined periodic reports with the SEC, certain of which are incorporated by reference herein. When we refer to “you,” we mean the potential holders of the applicable series of securities.</w:t>
      </w:r>
    </w:p>
    <w:p>
      <w:pPr>
        <w:spacing w:after="0" w:line="12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registered trademarks, service marks and brand names that are the exclusive property of their respective owners, which are companies other than us, including 1 Hotels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Alila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Andaz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Fairmont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Four Seasons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Grand Hyatt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JW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Ritz-Carlton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 Regis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Don Cesar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Luxury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Autograph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Curio – A Collection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Embassy Suites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Hyatt Regency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 Marquis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Sheraton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Swissôtel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Tribute Portfolio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Westin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None of the owners of these trademarks, service marks or brand names, their affiliates or any of their respective officers, directors, agents or employees, is an issuer or underwriter of the debt securities being offered hereby. In addition, none of such persons has or will have any responsibility or liability for any information contained in this prospectus or the documents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file reports and other information with the SEC. The SEC maintains a website that contains reports and information statements and other information about issuers, such as us, who file electronically with the SEC. The address of that website is http://www.sec.gov.</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website address is http://www.hosthotels.com. The information on our website, however, is not, and should not be deemed to be, a part of this prospectus.</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right="5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Combined Annual Report of Host Inc. and Host L.P. on </w:t>
      </w:r>
      <w:hyperlink r:id="rId2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28, 2024.</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Combined Annual Report of Host Inc. and Host L.P. on Form 10-K from the Definitive Proxy Statement of Host Inc. on </w:t>
      </w:r>
      <w:hyperlink r:id="rId25">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auto"/>
        </w:rPr>
        <w:t>, filed with the SEC on April 5, 2024.</w:t>
      </w:r>
    </w:p>
    <w:p>
      <w:pPr>
        <w:spacing w:after="0" w:line="108"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7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4747 BETHESDA AVE, SUITE 1300</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(240) 744-1000</w:t>
      </w:r>
    </w:p>
    <w:p>
      <w:pPr>
        <w:spacing w:after="0" w:line="45" w:lineRule="exact"/>
        <w:rPr>
          <w:rFonts w:ascii="Times New Roman" w:cs="Times New Roman" w:eastAsia="Times New Roman" w:hAnsi="Times New Roman"/>
          <w:sz w:val="18"/>
          <w:szCs w:val="18"/>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Host Hotels &amp; Resorts, L.P. (“Host L.P.”) is a Delaware limited partnership operating through an umbrella partnership structure with Host Hotels &amp; Resorts, Inc., a Maryland corporation (“Host Inc.”), as its sole general partner. Host Inc. operates as a self-managed and self-administered real estate investment trust (“REIT”). In addition to being the sole general partner, Host Inc. holds approximately 99% of the partnership interests in Host L.P. as of March 31, 2024.</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Host Inc. is the largest publicly traded lodging REIT, with a geographically diverse portfolio of luxury and upper upscale hotels, and conducts its operations through Host L.P. Host Inc. has the exclusive and complete responsibility for Host L.P.’s day-to-day management and control. As of March 31, 2024, our consolidated lodging portfolio consists of 77 primarily luxury and upper-upscale hotels containing approximately 42,000 rooms, with substantially all located in the United States (five of the hotels are located outside of the U.S. in Brazil and Canada). In addition, we own non-controlling interests in seven domestic and one international joint ventures that focus on the lodging industry.</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address of our principal executive office is 4747 Bethesda Ave, Suite 1300, Bethesda, Maryland 20814. Our phone number is (240) 744-1000. Our Internet website address is www.hosthotels.com. The information found on, or otherwise accessible through, our website is not incorporated into, and does not form a part of, this prospectus or the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in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For more information, see the section entitled “Where You Can Find More Information” in this prospectus.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 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1440" w:right="1440" w:bottom="1440" w:gutter="0" w:footer="0" w:header="0"/>
        </w:sectPr>
      </w:pPr>
    </w:p>
    <w:bookmarkStart w:id="54" w:name="page55"/>
    <w:bookmarkEnd w:id="5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such series in a supplement to this prospectus. We will also indicate in the supplement to what extent the general terms and provisions described in this prospectus apply to a particular series of debt securities.</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debt securities offered under this prospectus may be our senior, senior subordinated or subordinated obligations and, unless otherwise specified in a supplement to this prospectus, the debt securities will be our direct, unsecured obligations and may be issued in one or more series.</w:t>
      </w:r>
    </w:p>
    <w:p>
      <w:pPr>
        <w:spacing w:after="0" w:line="10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debt securities will be issued pursuant to an indenture dated as of May 15, 2015 between us and The Bank of New York Mellon, as trustee as amended or supplemented from time to time. We have summarized select portions of the indenture below. The summary is not complete. The indenture has been previously filed and is incorporated by reference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used in this section only, “Host L.P.,” “we,” “our” or “us” refer to Host Hotels &amp; Resorts, L.P. and its successors, but excluding our subsidiaries, unless expressly stated or the context otherwise requires.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free writing prospectus, pricing supplement or term sheet).</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2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if any, the date or dates from which interest will accrue, if any, the date or dates on which interest will commence and be payable and any regular record date for the interest payable on any interest payment date;</w:t>
      </w:r>
    </w:p>
    <w:p>
      <w:pPr>
        <w:spacing w:after="0" w:line="12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ind w:left="328" w:hanging="328"/>
        <w:spacing w:after="0" w:line="266"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debt securities of the series shall be redeemed or purchased, in whole or in part, pursuant to such obligation;</w:t>
      </w:r>
    </w:p>
    <w:p>
      <w:pPr>
        <w:spacing w:after="0" w:line="121"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we will repurchase debt securities at the option of the holders of debt securities and other detailed terms and provisions of these repurchase obligations;</w:t>
      </w:r>
    </w:p>
    <w:p>
      <w:pPr>
        <w:spacing w:after="0" w:line="10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$2,000 and any integral multiple on $1,000 in excess thereof;</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71"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07" w:lineRule="exact"/>
        <w:rPr>
          <w:rFonts w:ascii="Times New Roman" w:cs="Times New Roman" w:eastAsia="Times New Roman" w:hAnsi="Times New Roman"/>
          <w:sz w:val="18"/>
          <w:szCs w:val="18"/>
          <w:color w:val="auto"/>
        </w:rPr>
      </w:pPr>
    </w:p>
    <w:p>
      <w:pPr>
        <w:ind w:left="328" w:right="74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07"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07" w:lineRule="exact"/>
        <w:rPr>
          <w:rFonts w:ascii="Times New Roman" w:cs="Times New Roman" w:eastAsia="Times New Roman" w:hAnsi="Times New Roman"/>
          <w:sz w:val="18"/>
          <w:szCs w:val="18"/>
          <w:color w:val="auto"/>
        </w:rPr>
      </w:pPr>
    </w:p>
    <w:p>
      <w:pPr>
        <w:ind w:left="328" w:right="180" w:hanging="328"/>
        <w:spacing w:after="0" w:line="312" w:lineRule="auto"/>
        <w:tabs>
          <w:tab w:leader="none" w:pos="32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5" w:lineRule="exact"/>
        <w:rPr>
          <w:rFonts w:ascii="Times New Roman" w:cs="Times New Roman" w:eastAsia="Times New Roman" w:hAnsi="Times New Roman"/>
          <w:sz w:val="17"/>
          <w:szCs w:val="17"/>
          <w:color w:val="auto"/>
        </w:rPr>
      </w:pPr>
    </w:p>
    <w:p>
      <w:pPr>
        <w:ind w:left="328" w:right="160" w:hanging="328"/>
        <w:spacing w:after="0" w:line="266"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71"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71"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if the debt securities of such series are redeemed;</w:t>
      </w:r>
    </w:p>
    <w:p>
      <w:pPr>
        <w:spacing w:after="0" w:line="121" w:lineRule="exact"/>
        <w:rPr>
          <w:rFonts w:ascii="Times New Roman" w:cs="Times New Roman" w:eastAsia="Times New Roman" w:hAnsi="Times New Roman"/>
          <w:sz w:val="18"/>
          <w:szCs w:val="18"/>
          <w:color w:val="auto"/>
        </w:rPr>
      </w:pPr>
    </w:p>
    <w:p>
      <w:pPr>
        <w:jc w:val="both"/>
        <w:ind w:left="328" w:right="40" w:hanging="328"/>
        <w:spacing w:after="0" w:line="266"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debt securities, including with respect to covenants and events of default; and</w:t>
      </w:r>
    </w:p>
    <w:p>
      <w:pPr>
        <w:spacing w:after="0" w:line="121" w:lineRule="exact"/>
        <w:rPr>
          <w:rFonts w:ascii="Times New Roman" w:cs="Times New Roman" w:eastAsia="Times New Roman" w:hAnsi="Times New Roman"/>
          <w:sz w:val="18"/>
          <w:szCs w:val="18"/>
          <w:color w:val="auto"/>
        </w:rPr>
      </w:pPr>
    </w:p>
    <w:p>
      <w:pPr>
        <w:ind w:left="328" w:right="240" w:hanging="328"/>
        <w:spacing w:after="0" w:line="28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8"/>
          </w:cols>
          <w:pgMar w:left="652" w:top="1440" w:right="359" w:bottom="1440" w:gutter="0" w:footer="0" w:header="0"/>
        </w:sectPr>
      </w:pPr>
    </w:p>
    <w:bookmarkStart w:id="56" w:name="page57"/>
    <w:bookmarkEnd w:id="56"/>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Debt Securities and Book-Entry System</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 Please see “Global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except as described below with respect to the consolidation, merger and sale of our assets,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another person, or sell, convey, transfer, lease or otherwise dispose of all or substantially all of our properties and assets, in one or more related transactions, to any person (in each case, a “successor person”) unless:</w:t>
      </w:r>
    </w:p>
    <w:p>
      <w:pPr>
        <w:spacing w:after="0" w:line="108" w:lineRule="exact"/>
        <w:rPr>
          <w:sz w:val="20"/>
          <w:szCs w:val="20"/>
          <w:color w:val="auto"/>
        </w:rPr>
      </w:pPr>
    </w:p>
    <w:p>
      <w:pPr>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limited partnership or the successor person (if other than Host L.P.) is an entity organized and validly existing under the laws of any U.S. domestic jurisdiction and expressly assumes our obligations on the debt securities and under the indenture by a supplemental indenture executed and delivered to the trustee;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171" w:lineRule="exact"/>
        <w:rPr>
          <w:sz w:val="20"/>
          <w:szCs w:val="20"/>
          <w:color w:val="auto"/>
        </w:rPr>
      </w:pPr>
    </w:p>
    <w:p>
      <w:pPr>
        <w:ind w:right="1000"/>
        <w:spacing w:after="0" w:line="438" w:lineRule="auto"/>
        <w:rPr>
          <w:sz w:val="20"/>
          <w:szCs w:val="20"/>
          <w:color w:val="auto"/>
        </w:rPr>
      </w:pPr>
      <w:r>
        <w:rPr>
          <w:rFonts w:ascii="Times New Roman" w:cs="Times New Roman" w:eastAsia="Times New Roman" w:hAnsi="Times New Roman"/>
          <w:sz w:val="18"/>
          <w:szCs w:val="18"/>
          <w:color w:val="auto"/>
        </w:rPr>
        <w:t xml:space="preserve">Notwithstanding the above, any of our subsidiaries may consolidate with, merge into or transfer all or part of its properties to us. (Section 5.1) </w:t>
      </w:r>
      <w:r>
        <w:rPr>
          <w:rFonts w:ascii="Times New Roman" w:cs="Times New Roman" w:eastAsia="Times New Roman" w:hAnsi="Times New Roman"/>
          <w:sz w:val="18"/>
          <w:szCs w:val="18"/>
          <w:b w:val="1"/>
          <w:bCs w:val="1"/>
          <w:color w:val="auto"/>
        </w:rPr>
        <w:t>Reports</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indenture provides that whether or not we are subject to the reporting requirements of Section 13 or 15(d) of the Exchange Act, we shall deliver to the Trustee and to each holder, within 15 days after we are or would have been required to file such with the Commission, annual and quarterly financial statements substantially equivalent to financial statements that would have been included in reports filed with the Commission if we were subject to the requirements of Section 13 or 15(d) of the Exchange Act, including, with respect to annual information only, a report thereon by our certified independent public accountants, as such would be required in such reports to the Commission, and, in each case, together with a management’s discussion and analysis of financial condition and results of operations which would be so required. Whether or not required by the rules and regulations of the Commission, we will file a copy of all such information and reports with the Commission for public availability and will make such information available to securities analysts and prospective investors upon request. (Section 4.2)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71" w:lineRule="exact"/>
        <w:rPr>
          <w:sz w:val="20"/>
          <w:szCs w:val="20"/>
          <w:color w:val="auto"/>
        </w:rPr>
      </w:pPr>
    </w:p>
    <w:p>
      <w:pPr>
        <w:ind w:left="660" w:right="4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debt security of that series at its maturity;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Host L.P. and the trustee receive written notice from the holders of not less than 25% in principal amount of the outstanding debt securities of that series as provided in the indenture;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Host L.P.;</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and its consequences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if any, and any interest on that debt security on or after the due dates expressed in that debt security and to institute suit for the enforcement of payment. (Section 6.8)</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deliver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determines in good faith that withholding notice is in the interest of the holders of those debt securities. (Section 7.5)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08"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to the description of debt securities or description of notes sections of any prospectus or prospectus supplement with respect to the debt securities of any series. (Section 9.1)</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amendment or waiver without the consent of the holders of each affected debt security then outstanding if that amendment will:</w:t>
      </w:r>
    </w:p>
    <w:p>
      <w:pPr>
        <w:spacing w:after="0" w:line="12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1440" w:right="399" w:bottom="1440" w:gutter="0" w:footer="0" w:header="0"/>
        </w:sectPr>
      </w:pPr>
    </w:p>
    <w:bookmarkStart w:id="60" w:name="page61"/>
    <w:bookmarkEnd w:id="60"/>
    <w:p>
      <w:pPr>
        <w:spacing w:after="0" w:line="14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to institute suit for the enforcement of any such payment and to waivers or amendments;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not yet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 (Section 6.13)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31"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06" w:lineRule="exact"/>
        <w:rPr>
          <w:sz w:val="20"/>
          <w:szCs w:val="20"/>
          <w:color w:val="auto"/>
        </w:rPr>
      </w:pPr>
    </w:p>
    <w:p>
      <w:pPr>
        <w:ind w:left="660" w:right="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71" w:lineRule="exact"/>
        <w:rPr>
          <w:sz w:val="20"/>
          <w:szCs w:val="20"/>
          <w:color w:val="auto"/>
        </w:rPr>
      </w:pPr>
    </w:p>
    <w:p>
      <w:pPr>
        <w:jc w:val="both"/>
        <w:ind w:left="660" w:right="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22" w:lineRule="exact"/>
        <w:rPr>
          <w:sz w:val="20"/>
          <w:szCs w:val="20"/>
          <w:color w:val="auto"/>
        </w:rPr>
      </w:pPr>
    </w:p>
    <w:p>
      <w:pPr>
        <w:ind w:left="660" w:right="60" w:hanging="328"/>
        <w:spacing w:after="0" w:line="25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Partners, Directors, Officers, Employees or Stockholders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recourse for the payment of the principal of, premium, if any, or interest on the debt securities or for any claim based thereon or otherwise in respect thereof, and no recourse under or upon any obligation, covenant or agreement of Host L.P. or any subsidiary that becomes a guarantor of the debt securities, if applicable, in the indenture, or in the debt securities or because of the creation of any debt represented thereby, shall be had against any incorporator, partner, stockholder, officer, director, employee or controlling person of Host L.P. or any subsidiary that becomes a guarantor of the debt securities, if applicable, or of any successor person thereof, except as an obligor or guarantor of the debt securities pursuant to the indenture. Each holder, by accepting the debt securities, waives and releases all such liability. This waiver and release is part of the consideration for the issue of the debt securities. However, this waiver and release may not be effective to waive liabilities under U.S. federal securities laws, and it is the view of the SEC that such waiver is against public policy.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GAAP for Covenant Calculations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Unless amended by prospectus supplement, “GAAP” shall mean generally accepted accounting principles in the United States as in effect from time to time. Notwithstanding the foregoing, for purposes of determining compliance with any financial covenant or covenant contained herein or in any board resolution, a supplemental indenture or an officer’s certificate for any series of debt securities requiring calculations that are determined with reference to GAAP, such compliance shall be determined in accordance with GAAP as in effect on the date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(1) all computations made under the indenture (whether or not such computations specifically reference GAAP) relating to the notional amount of indebtedness or interest expense associated with such indebtedness shall be made without giving effect to any generally accepted accounting principles requiring that such indebtedness be marked to market, and the effects of the Accounting Standards Codification of the Financial Accounting Standards Board (“FASB ASC”) 825 and FASB ASC 470-20 on financial liabilities will be disregarded, (2) any generally accepted accounting principles requiring (x) any fair value adjustment that would cause any indebtedness or contracts to be marked to market, including capitalized liabilities based on the fair value of contracts, (y) the recording of convertible debt at fair value and (z) acquisition costs that were capitalized prior to the adoption of FASB ASC 805 to be expensed as incurred shall, in each case, be disregarded and (3) the determination of a Subsidiary with respect to any person shall be based in accordance with GAAP as in effect from time to time. As a result, the value of amounts used in the calculation of our covenants such as interest expense, the recorded value of debt acquired or assumed, and total assets will be different from amounts presented in our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Jury Trial</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indenture provides that we, the trustee, the paying agent and the registrar irrevocably waive, to the fullest extent permitted by applicable law, any and all right to trial by jury in any legal proceeding arising out of or relating to the indenture, the debt securities or the transactions contemplated thereby. (Section 10.18)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indenture provides that we, the trustee, the paying agent and the registrar irrevocably submit to the exclusive general jurisdiction of any New York state court sitting in the Borough of Manhattan in the City of New York or any federal court sitting in the Borough of Manhattan in the City of New York in respect of any suit, action or proceeding arising out of or relating to the indenture and the debt securities, and irrevocably accept the jurisdiction of the aforesaid courts. The indenture will further provide that we, the trustee, the paying agent and the registrar irrevocably waive, to the fullest extent permitted by applicable law, any objection to the laying of the venue of any suit, action or proceeding brought in the courts specified above and irrevocably waive and agree not to plead or claim any such suit, action or proceeding has been brought in an inconvenient forum. (Section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(collectively, the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7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3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1440" w:right="399" w:bottom="1440" w:gutter="0" w:footer="0" w:header="0"/>
        </w:sectPr>
      </w:pPr>
    </w:p>
    <w:bookmarkStart w:id="64" w:name="page65"/>
    <w:bookmarkEnd w:id="64"/>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respect of the securities and the indenture may be delivered to us and where certificated securities may be surrendered for payment, registration of transfer or exchange.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3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08" w:lineRule="exact"/>
        <w:rPr>
          <w:sz w:val="20"/>
          <w:szCs w:val="20"/>
          <w:color w:val="auto"/>
        </w:rPr>
      </w:pPr>
    </w:p>
    <w:p>
      <w:pPr>
        <w:ind w:left="660" w:right="1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90 days of the notification to us or of our becoming aware of DTC’s ceasing to be so registered, as the case may be;</w:t>
      </w:r>
    </w:p>
    <w:p>
      <w:pPr>
        <w:spacing w:after="0" w:line="17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ind w:right="100"/>
        <w:spacing w:after="0" w:line="438" w:lineRule="auto"/>
        <w:rPr>
          <w:sz w:val="20"/>
          <w:szCs w:val="20"/>
          <w:color w:val="auto"/>
        </w:rPr>
      </w:pPr>
      <w:r>
        <w:rPr>
          <w:rFonts w:ascii="Times New Roman" w:cs="Times New Roman" w:eastAsia="Times New Roman" w:hAnsi="Times New Roman"/>
          <w:sz w:val="18"/>
          <w:szCs w:val="18"/>
          <w:color w:val="auto"/>
        </w:rPr>
        <w:t xml:space="preserve">available in the relevant Euroclear or Clearstream cash account only as of the business day for Euroclear or Clearstream following DTC’s settlement date. </w:t>
      </w:r>
      <w:r>
        <w:rPr>
          <w:rFonts w:ascii="Times New Roman" w:cs="Times New Roman" w:eastAsia="Times New Roman" w:hAnsi="Times New Roman"/>
          <w:sz w:val="18"/>
          <w:szCs w:val="18"/>
          <w:b w:val="1"/>
          <w:bCs w:val="1"/>
          <w:i w:val="1"/>
          <w:iCs w:val="1"/>
          <w:color w:val="auto"/>
        </w:rPr>
        <w:t>Other</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40" w:right="399" w:bottom="1440" w:gutter="0" w:footer="0" w:header="0"/>
        </w:sectPr>
      </w:pPr>
    </w:p>
    <w:bookmarkStart w:id="67" w:name="page68"/>
    <w:bookmarkEnd w:id="6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maintain the market price of the securities at a level above that which might otherwise prevail in the open market. These transactions may be discontinued at any time.</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1440" w:right="419" w:bottom="1440" w:gutter="0" w:footer="0" w:header="0"/>
        </w:sectPr>
      </w:pPr>
    </w:p>
    <w:bookmarkStart w:id="69" w:name="page70"/>
    <w:bookmarkEnd w:id="69"/>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Host Hotels &amp; Resorts, L.P.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Host Hotels &amp; Resorts, L.P.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1440" w:right="459" w:bottom="1440" w:gutter="0" w:footer="0" w:header="0"/>
        </w:sectPr>
      </w:pPr>
    </w:p>
    <w:bookmarkStart w:id="70" w:name="page71"/>
    <w:bookmarkEnd w:id="70"/>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36195</wp:posOffset>
            </wp:positionV>
            <wp:extent cx="97726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772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Host Hotels &amp; Resorts, L.P.</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 Series M Senior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26670</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125730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80"/>
          </w:cols>
          <w:pgMar w:left="340" w:top="1440" w:right="37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Morgan Stanley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BofA Securities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rPr>
        <w:t>J.P. Morgan</w:t>
      </w:r>
    </w:p>
    <w:p>
      <w:pPr>
        <w:spacing w:after="0" w:line="211" w:lineRule="exact"/>
        <w:rPr>
          <w:sz w:val="20"/>
          <w:szCs w:val="20"/>
          <w:color w:val="auto"/>
        </w:rPr>
      </w:pPr>
    </w:p>
    <w:p>
      <w:pPr>
        <w:sectPr>
          <w:pgSz w:w="11900" w:h="16838" w:orient="portrait"/>
          <w:cols w:equalWidth="0" w:num="3">
            <w:col w:w="3660" w:space="720"/>
            <w:col w:w="4200" w:space="720"/>
            <w:col w:w="1880"/>
          </w:cols>
          <w:pgMar w:left="340" w:top="1440" w:right="37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Truist Securities</w:t>
      </w:r>
    </w:p>
    <w:p>
      <w:pPr>
        <w:spacing w:after="0" w:line="189" w:lineRule="exact"/>
        <w:rPr>
          <w:sz w:val="20"/>
          <w:szCs w:val="20"/>
          <w:color w:val="auto"/>
        </w:rPr>
      </w:pPr>
    </w:p>
    <w:p>
      <w:pPr>
        <w:sectPr>
          <w:pgSz w:w="11900" w:h="16838" w:orient="portrait"/>
          <w:cols w:equalWidth="0" w:num="3">
            <w:col w:w="3380" w:space="720"/>
            <w:col w:w="4600" w:space="720"/>
            <w:col w:w="1760"/>
          </w:cols>
          <w:pgMar w:left="340" w:top="1440" w:right="379" w:bottom="1440" w:gutter="0" w:footer="0" w:header="0"/>
          <w:type w:val="continuous"/>
        </w:sectPr>
      </w:pPr>
    </w:p>
    <w:p>
      <w:pPr>
        <w:ind w:left="6280"/>
        <w:spacing w:after="0"/>
        <w:rPr>
          <w:sz w:val="20"/>
          <w:szCs w:val="20"/>
          <w:color w:val="auto"/>
        </w:rPr>
      </w:pPr>
      <w:r>
        <w:rPr>
          <w:rFonts w:ascii="Times New Roman" w:cs="Times New Roman" w:eastAsia="Times New Roman" w:hAnsi="Times New Roman"/>
          <w:sz w:val="17"/>
          <w:szCs w:val="17"/>
          <w:b w:val="1"/>
          <w:bCs w:val="1"/>
          <w:color w:val="auto"/>
        </w:rPr>
        <w:t>, 2025</w:t>
      </w:r>
    </w:p>
    <w:sectPr>
      <w:pgSz w:w="11900" w:h="16838" w:orient="portrait"/>
      <w:cols w:equalWidth="0" w:num="1">
        <w:col w:w="11180"/>
      </w:cols>
      <w:pgMar w:left="340" w:top="14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240"/>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lvl w:ilvl="1">
      <w:lvlJc w:val="left"/>
      <w:lvlText w:val="(%2)"/>
      <w:numFmt w:val="lowerLetter"/>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2"/>
    </w:lvl>
  </w:abstractNum>
  <w:abstractNum w:abstractNumId="12">
    <w:nsid w:val="6CEAF087"/>
    <w:multiLevelType w:val="hybridMultilevel"/>
    <w:lvl w:ilvl="0">
      <w:lvlJc w:val="left"/>
      <w:lvlText w:val="(%1)"/>
      <w:numFmt w:val="decimal"/>
      <w:start w:val="4"/>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3"/>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4"/>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5"/>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png"/><Relationship Id="rId28" Type="http://schemas.openxmlformats.org/officeDocument/2006/relationships/image" Target="media/image16.png"/><Relationship Id="rId20" Type="http://schemas.openxmlformats.org/officeDocument/2006/relationships/hyperlink" Target="https://www.sec.gov/ix?doc=/Archives/edgar/data/0001070750/000107075025000071/hst-20241231.htm" TargetMode="External"/><Relationship Id="rId21" Type="http://schemas.openxmlformats.org/officeDocument/2006/relationships/hyperlink" Target="https://www.sec.gov/ix?doc=/Archives/edgar/data/0001070750/000107075025000079/hst-20250402.htm" TargetMode="External"/><Relationship Id="rId22" Type="http://schemas.openxmlformats.org/officeDocument/2006/relationships/hyperlink" Target="https://www.sec.gov/ix?doc=/Archives/edgar/data/0001070750/000107075025000097/hst-20250331.htm" TargetMode="External"/><Relationship Id="rId24" Type="http://schemas.openxmlformats.org/officeDocument/2006/relationships/hyperlink" Target="https://www.sec.gov/ix?doc=/Archives/edgar/data/0001070750/000107075024000081/hst-20231231.htm" TargetMode="External"/><Relationship Id="rId25" Type="http://schemas.openxmlformats.org/officeDocument/2006/relationships/hyperlink" Target="https://www.sec.gov/ix?doc=/Archives/edgar/data/1070750/000107075024000110/hst-20240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2025-05-06T07:35:17Z</dcterms:created>
  <dcterms:modified xsi:type="dcterms:W3CDTF">2025-05-06T07:35:17Z</dcterms:modified>
</cp:coreProperties>
</file>