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14, 2025</w:t>
      </w:r>
    </w:p>
    <w:p>
      <w:pPr>
        <w:spacing w:after="0" w:line="2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HOST HOTELS &amp; RESORTS,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7"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ectPr>
          <w:pgSz w:w="11900" w:h="16838" w:orient="portrait"/>
          <w:cols w:equalWidth="0" w:num="1">
            <w:col w:w="11240"/>
          </w:cols>
          <w:pgMar w:left="320" w:top="1440" w:right="339" w:bottom="1440" w:gutter="0" w:footer="0" w:header="0"/>
        </w:sectPr>
      </w:pPr>
    </w:p>
    <w:p>
      <w:pPr>
        <w:spacing w:after="0" w:line="216"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001-14625</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53-0085950</w:t>
      </w:r>
    </w:p>
    <w:p>
      <w:pPr>
        <w:spacing w:after="0" w:line="61" w:lineRule="exact"/>
        <w:rPr>
          <w:sz w:val="24"/>
          <w:szCs w:val="24"/>
          <w:color w:val="auto"/>
        </w:rPr>
      </w:pPr>
    </w:p>
    <w:p>
      <w:pPr>
        <w:sectPr>
          <w:pgSz w:w="11900" w:h="16838" w:orient="portrait"/>
          <w:cols w:equalWidth="0" w:num="3">
            <w:col w:w="4500" w:space="720"/>
            <w:col w:w="2740" w:space="720"/>
            <w:col w:w="2560"/>
          </w:cols>
          <w:pgMar w:left="320" w:top="1440" w:right="339" w:bottom="1440" w:gutter="0" w:footer="0" w:header="0"/>
          <w:type w:val="continuous"/>
        </w:sect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8" w:lineRule="exact"/>
        <w:rPr>
          <w:sz w:val="24"/>
          <w:szCs w:val="24"/>
          <w:color w:val="auto"/>
        </w:rPr>
      </w:pPr>
    </w:p>
    <w:p>
      <w:pPr>
        <w:sectPr>
          <w:pgSz w:w="11900" w:h="16838" w:orient="portrait"/>
          <w:cols w:equalWidth="0" w:num="3">
            <w:col w:w="4480" w:space="720"/>
            <w:col w:w="2640" w:space="720"/>
            <w:col w:w="2680"/>
          </w:cols>
          <w:pgMar w:left="320" w:top="1440" w:right="33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4747 Bethesda Avenue, Suite 1300</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Bethesda, Maryland</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20814</w:t>
      </w:r>
    </w:p>
    <w:p>
      <w:pPr>
        <w:spacing w:after="0" w:line="63" w:lineRule="exact"/>
        <w:rPr>
          <w:sz w:val="24"/>
          <w:szCs w:val="24"/>
          <w:color w:val="auto"/>
        </w:rPr>
      </w:pPr>
    </w:p>
    <w:p>
      <w:pPr>
        <w:sectPr>
          <w:pgSz w:w="11900" w:h="16838" w:orient="portrait"/>
          <w:cols w:equalWidth="0" w:num="2">
            <w:col w:w="7480" w:space="720"/>
            <w:col w:w="3040"/>
          </w:cols>
          <w:pgMar w:left="320" w:top="1440" w:right="33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1440" w:right="339" w:bottom="1440" w:gutter="0" w:footer="0" w:header="0"/>
          <w:type w:val="continuous"/>
        </w:sectPr>
      </w:pP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744-1000</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207" w:lineRule="exact"/>
        <w:rPr>
          <w:sz w:val="24"/>
          <w:szCs w:val="24"/>
          <w:color w:val="auto"/>
        </w:rPr>
      </w:pPr>
    </w:p>
    <w:p>
      <w:pPr>
        <w:ind w:right="20" w:firstLine="11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Wingdings" w:cs="Wingdings" w:eastAsia="Wingdings" w:hAnsi="Wingdings"/>
          <w:sz w:val="18"/>
          <w:szCs w:val="18"/>
          <w:b w:val="1"/>
          <w:bCs w:val="1"/>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Wingdings" w:cs="Wingdings" w:eastAsia="Wingdings" w:hAnsi="Wingdings"/>
          <w:sz w:val="18"/>
          <w:szCs w:val="18"/>
          <w:b w:val="1"/>
          <w:bCs w:val="1"/>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Wingdings" w:cs="Wingdings" w:eastAsia="Wingdings" w:hAnsi="Wingdings"/>
          <w:sz w:val="18"/>
          <w:szCs w:val="18"/>
          <w:b w:val="1"/>
          <w:bCs w:val="1"/>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100" w:type="dxa"/>
            <w:vAlign w:val="bottom"/>
            <w:vMerge w:val="restart"/>
          </w:tcPr>
          <w:p>
            <w:pPr>
              <w:spacing w:after="0"/>
              <w:rPr>
                <w:sz w:val="14"/>
                <w:szCs w:val="14"/>
                <w:color w:val="auto"/>
              </w:rPr>
            </w:pP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100" w:type="dxa"/>
            <w:vAlign w:val="bottom"/>
            <w:vMerge w:val="restart"/>
          </w:tcPr>
          <w:p>
            <w:pPr>
              <w:spacing w:after="0"/>
              <w:rPr>
                <w:sz w:val="14"/>
                <w:szCs w:val="14"/>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Name of Each Exchange on</w:t>
            </w:r>
          </w:p>
        </w:tc>
        <w:tc>
          <w:tcPr>
            <w:tcW w:w="0" w:type="dxa"/>
            <w:vAlign w:val="bottom"/>
          </w:tcPr>
          <w:p>
            <w:pPr>
              <w:spacing w:after="0"/>
              <w:rPr>
                <w:sz w:val="1"/>
                <w:szCs w:val="1"/>
                <w:color w:val="auto"/>
              </w:rPr>
            </w:pPr>
          </w:p>
        </w:tc>
      </w:tr>
      <w:tr>
        <w:trPr>
          <w:trHeight w:val="176"/>
        </w:trPr>
        <w:tc>
          <w:tcPr>
            <w:tcW w:w="34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Which Registered</w:t>
            </w:r>
          </w:p>
        </w:tc>
        <w:tc>
          <w:tcPr>
            <w:tcW w:w="0" w:type="dxa"/>
            <w:vAlign w:val="bottom"/>
          </w:tcPr>
          <w:p>
            <w:pPr>
              <w:spacing w:after="0"/>
              <w:rPr>
                <w:sz w:val="1"/>
                <w:szCs w:val="1"/>
                <w:color w:val="auto"/>
              </w:rPr>
            </w:pPr>
          </w:p>
        </w:tc>
      </w:tr>
      <w:tr>
        <w:trPr>
          <w:trHeight w:val="188"/>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Common Stock, $.01 par value</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HST</w:t>
            </w:r>
          </w:p>
        </w:tc>
        <w:tc>
          <w:tcPr>
            <w:tcW w:w="4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bl>
    <w:p>
      <w:pPr>
        <w:spacing w:after="0" w:line="104" w:lineRule="exact"/>
        <w:rPr>
          <w:sz w:val="24"/>
          <w:szCs w:val="24"/>
          <w:color w:val="auto"/>
        </w:rPr>
      </w:pPr>
    </w:p>
    <w:p>
      <w:pPr>
        <w:ind w:right="660" w:firstLine="1134"/>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14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4"/>
          <w:szCs w:val="14"/>
          <w:b w:val="1"/>
          <w:bCs w:val="1"/>
          <w:color w:val="auto"/>
        </w:rPr>
        <w:t>o</w:t>
      </w:r>
    </w:p>
    <w:p>
      <w:pPr>
        <w:spacing w:after="0" w:line="9" w:lineRule="exact"/>
        <w:rPr>
          <w:sz w:val="24"/>
          <w:szCs w:val="24"/>
          <w:color w:val="auto"/>
        </w:rPr>
      </w:pPr>
    </w:p>
    <w:p>
      <w:pPr>
        <w:ind w:right="40" w:firstLine="1134"/>
        <w:spacing w:after="0" w:line="26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Host Hotels &amp; Resorts, Inc. (the "Company") held its annual meeting of stockholders on May 14, 2025. Stockholders were asked to vote on three proposals: the election of directors, the ratification of the appointment of KPMG LLP as the Company’s independent registered public accountants for 2025, and an advisory vote to approve executive compensation. Final voting results are set forth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31"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18"/>
          <w:szCs w:val="18"/>
          <w:color w:val="auto"/>
        </w:rPr>
        <w:t>Final votes regarding the election of nine directors for terms expiring at the 2026 annual meeting of stockholders are set forth below. Accordingly, each director nominee was elected for a one-year term.</w:t>
      </w:r>
    </w:p>
    <w:p>
      <w:pPr>
        <w:spacing w:after="0" w:line="121"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6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37"/>
        </w:trPr>
        <w:tc>
          <w:tcPr>
            <w:tcW w:w="3440" w:type="dxa"/>
            <w:vAlign w:val="bottom"/>
            <w:tcBorders>
              <w:bottom w:val="single" w:sz="8" w:color="CFF0FC"/>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r>
      <w:tr>
        <w:trPr>
          <w:trHeight w:val="243"/>
        </w:trPr>
        <w:tc>
          <w:tcPr>
            <w:tcW w:w="34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333333"/>
              </w:rPr>
              <w:t>Mary L. Baglivo</w:t>
            </w:r>
          </w:p>
        </w:tc>
        <w:tc>
          <w:tcPr>
            <w:tcW w:w="15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600,998,992</w:t>
            </w:r>
          </w:p>
        </w:tc>
        <w:tc>
          <w:tcPr>
            <w:tcW w:w="1600" w:type="dxa"/>
            <w:vAlign w:val="bottom"/>
            <w:tcBorders>
              <w:bottom w:val="single" w:sz="8" w:color="CFF0FC"/>
            </w:tcBorders>
            <w:shd w:val="clear" w:color="auto" w:fill="CFF0FC"/>
          </w:tcPr>
          <w:p>
            <w:pPr>
              <w:jc w:val="center"/>
              <w:ind w:right="12"/>
              <w:spacing w:after="0"/>
              <w:rPr>
                <w:sz w:val="20"/>
                <w:szCs w:val="20"/>
                <w:color w:val="auto"/>
              </w:rPr>
            </w:pPr>
            <w:r>
              <w:rPr>
                <w:rFonts w:ascii="Times New Roman" w:cs="Times New Roman" w:eastAsia="Times New Roman" w:hAnsi="Times New Roman"/>
                <w:sz w:val="18"/>
                <w:szCs w:val="18"/>
                <w:color w:val="auto"/>
              </w:rPr>
              <w:t>14,743,741</w:t>
            </w:r>
          </w:p>
        </w:tc>
        <w:tc>
          <w:tcPr>
            <w:tcW w:w="1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4,620,970</w:t>
            </w:r>
          </w:p>
        </w:tc>
        <w:tc>
          <w:tcPr>
            <w:tcW w:w="2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18,020,055</w:t>
            </w:r>
          </w:p>
        </w:tc>
      </w:tr>
      <w:tr>
        <w:trPr>
          <w:trHeight w:val="243"/>
        </w:trPr>
        <w:tc>
          <w:tcPr>
            <w:tcW w:w="3440" w:type="dxa"/>
            <w:vAlign w:val="bottom"/>
          </w:tcPr>
          <w:p>
            <w:pPr>
              <w:ind w:left="60"/>
              <w:spacing w:after="0"/>
              <w:rPr>
                <w:sz w:val="20"/>
                <w:szCs w:val="20"/>
                <w:color w:val="auto"/>
              </w:rPr>
            </w:pPr>
            <w:r>
              <w:rPr>
                <w:rFonts w:ascii="Times New Roman" w:cs="Times New Roman" w:eastAsia="Times New Roman" w:hAnsi="Times New Roman"/>
                <w:sz w:val="18"/>
                <w:szCs w:val="18"/>
                <w:color w:val="333333"/>
              </w:rPr>
              <w:t>Herman E. Bulls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595,490,570</w:t>
            </w:r>
          </w:p>
        </w:tc>
        <w:tc>
          <w:tcPr>
            <w:tcW w:w="16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20,256,587</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4,616,434</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18,020,055</w:t>
            </w:r>
          </w:p>
        </w:tc>
      </w:tr>
      <w:tr>
        <w:trPr>
          <w:trHeight w:val="27"/>
        </w:trPr>
        <w:tc>
          <w:tcPr>
            <w:tcW w:w="3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34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333333"/>
              </w:rPr>
              <w:t>Diana M. Laing</w:t>
            </w:r>
          </w:p>
        </w:tc>
        <w:tc>
          <w:tcPr>
            <w:tcW w:w="15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587,491,729</w:t>
            </w:r>
          </w:p>
        </w:tc>
        <w:tc>
          <w:tcPr>
            <w:tcW w:w="1600" w:type="dxa"/>
            <w:vAlign w:val="bottom"/>
            <w:tcBorders>
              <w:bottom w:val="single" w:sz="8" w:color="CFF0FC"/>
            </w:tcBorders>
            <w:shd w:val="clear" w:color="auto" w:fill="CFF0FC"/>
          </w:tcPr>
          <w:p>
            <w:pPr>
              <w:jc w:val="center"/>
              <w:ind w:right="12"/>
              <w:spacing w:after="0"/>
              <w:rPr>
                <w:sz w:val="20"/>
                <w:szCs w:val="20"/>
                <w:color w:val="auto"/>
              </w:rPr>
            </w:pPr>
            <w:r>
              <w:rPr>
                <w:rFonts w:ascii="Times New Roman" w:cs="Times New Roman" w:eastAsia="Times New Roman" w:hAnsi="Times New Roman"/>
                <w:sz w:val="18"/>
                <w:szCs w:val="18"/>
                <w:color w:val="auto"/>
              </w:rPr>
              <w:t>28,254,954</w:t>
            </w:r>
          </w:p>
        </w:tc>
        <w:tc>
          <w:tcPr>
            <w:tcW w:w="1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4,617,020</w:t>
            </w:r>
          </w:p>
        </w:tc>
        <w:tc>
          <w:tcPr>
            <w:tcW w:w="2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18,020,055</w:t>
            </w:r>
          </w:p>
        </w:tc>
      </w:tr>
      <w:tr>
        <w:trPr>
          <w:trHeight w:val="243"/>
        </w:trPr>
        <w:tc>
          <w:tcPr>
            <w:tcW w:w="3440" w:type="dxa"/>
            <w:vAlign w:val="bottom"/>
          </w:tcPr>
          <w:p>
            <w:pPr>
              <w:ind w:left="60"/>
              <w:spacing w:after="0"/>
              <w:rPr>
                <w:sz w:val="20"/>
                <w:szCs w:val="20"/>
                <w:color w:val="auto"/>
              </w:rPr>
            </w:pPr>
            <w:r>
              <w:rPr>
                <w:rFonts w:ascii="Times New Roman" w:cs="Times New Roman" w:eastAsia="Times New Roman" w:hAnsi="Times New Roman"/>
                <w:sz w:val="18"/>
                <w:szCs w:val="18"/>
                <w:color w:val="333333"/>
              </w:rPr>
              <w:t>Richard E. Marriott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603,647,887</w:t>
            </w:r>
          </w:p>
        </w:tc>
        <w:tc>
          <w:tcPr>
            <w:tcW w:w="16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13,544,226</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3,171,456</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18,020,055</w:t>
            </w:r>
          </w:p>
        </w:tc>
      </w:tr>
      <w:tr>
        <w:trPr>
          <w:trHeight w:val="27"/>
        </w:trPr>
        <w:tc>
          <w:tcPr>
            <w:tcW w:w="3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34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333333"/>
              </w:rPr>
              <w:t>Mary Hogan Preusse</w:t>
            </w:r>
          </w:p>
        </w:tc>
        <w:tc>
          <w:tcPr>
            <w:tcW w:w="15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602,172,785</w:t>
            </w:r>
          </w:p>
        </w:tc>
        <w:tc>
          <w:tcPr>
            <w:tcW w:w="1600" w:type="dxa"/>
            <w:vAlign w:val="bottom"/>
            <w:tcBorders>
              <w:bottom w:val="single" w:sz="8" w:color="CFF0FC"/>
            </w:tcBorders>
            <w:shd w:val="clear" w:color="auto" w:fill="CFF0FC"/>
          </w:tcPr>
          <w:p>
            <w:pPr>
              <w:jc w:val="center"/>
              <w:ind w:right="12"/>
              <w:spacing w:after="0"/>
              <w:rPr>
                <w:sz w:val="20"/>
                <w:szCs w:val="20"/>
                <w:color w:val="auto"/>
              </w:rPr>
            </w:pPr>
            <w:r>
              <w:rPr>
                <w:rFonts w:ascii="Times New Roman" w:cs="Times New Roman" w:eastAsia="Times New Roman" w:hAnsi="Times New Roman"/>
                <w:sz w:val="18"/>
                <w:szCs w:val="18"/>
                <w:color w:val="auto"/>
              </w:rPr>
              <w:t>15,014,067</w:t>
            </w:r>
          </w:p>
        </w:tc>
        <w:tc>
          <w:tcPr>
            <w:tcW w:w="1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3,176,749</w:t>
            </w:r>
          </w:p>
        </w:tc>
        <w:tc>
          <w:tcPr>
            <w:tcW w:w="2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18,020,055</w:t>
            </w:r>
          </w:p>
        </w:tc>
      </w:tr>
      <w:tr>
        <w:trPr>
          <w:trHeight w:val="243"/>
        </w:trPr>
        <w:tc>
          <w:tcPr>
            <w:tcW w:w="3440" w:type="dxa"/>
            <w:vAlign w:val="bottom"/>
          </w:tcPr>
          <w:p>
            <w:pPr>
              <w:ind w:left="60"/>
              <w:spacing w:after="0"/>
              <w:rPr>
                <w:sz w:val="20"/>
                <w:szCs w:val="20"/>
                <w:color w:val="auto"/>
              </w:rPr>
            </w:pPr>
            <w:r>
              <w:rPr>
                <w:rFonts w:ascii="Times New Roman" w:cs="Times New Roman" w:eastAsia="Times New Roman" w:hAnsi="Times New Roman"/>
                <w:sz w:val="18"/>
                <w:szCs w:val="18"/>
                <w:color w:val="333333"/>
              </w:rPr>
              <w:t>Walter C. Rakowich</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589,570,088</w:t>
            </w:r>
          </w:p>
        </w:tc>
        <w:tc>
          <w:tcPr>
            <w:tcW w:w="16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27,616,487</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3,177,128</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18,020,055</w:t>
            </w:r>
          </w:p>
        </w:tc>
      </w:tr>
      <w:tr>
        <w:trPr>
          <w:trHeight w:val="27"/>
        </w:trPr>
        <w:tc>
          <w:tcPr>
            <w:tcW w:w="3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34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333333"/>
              </w:rPr>
              <w:t>James F. Risoleo</w:t>
            </w:r>
          </w:p>
        </w:tc>
        <w:tc>
          <w:tcPr>
            <w:tcW w:w="15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611,041,592</w:t>
            </w:r>
          </w:p>
        </w:tc>
        <w:tc>
          <w:tcPr>
            <w:tcW w:w="1600" w:type="dxa"/>
            <w:vAlign w:val="bottom"/>
            <w:tcBorders>
              <w:bottom w:val="single" w:sz="8" w:color="CFF0FC"/>
            </w:tcBorders>
            <w:shd w:val="clear" w:color="auto" w:fill="CFF0FC"/>
          </w:tcPr>
          <w:p>
            <w:pPr>
              <w:jc w:val="center"/>
              <w:ind w:right="12"/>
              <w:spacing w:after="0"/>
              <w:rPr>
                <w:sz w:val="20"/>
                <w:szCs w:val="20"/>
                <w:color w:val="auto"/>
              </w:rPr>
            </w:pPr>
            <w:r>
              <w:rPr>
                <w:rFonts w:ascii="Times New Roman" w:cs="Times New Roman" w:eastAsia="Times New Roman" w:hAnsi="Times New Roman"/>
                <w:sz w:val="18"/>
                <w:szCs w:val="18"/>
                <w:color w:val="auto"/>
                <w:w w:val="97"/>
              </w:rPr>
              <w:t>6,142,011</w:t>
            </w:r>
          </w:p>
        </w:tc>
        <w:tc>
          <w:tcPr>
            <w:tcW w:w="1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3,180,100</w:t>
            </w:r>
          </w:p>
        </w:tc>
        <w:tc>
          <w:tcPr>
            <w:tcW w:w="2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18,020,055</w:t>
            </w:r>
          </w:p>
        </w:tc>
      </w:tr>
      <w:tr>
        <w:trPr>
          <w:trHeight w:val="243"/>
        </w:trPr>
        <w:tc>
          <w:tcPr>
            <w:tcW w:w="3440" w:type="dxa"/>
            <w:vAlign w:val="bottom"/>
          </w:tcPr>
          <w:p>
            <w:pPr>
              <w:ind w:left="60"/>
              <w:spacing w:after="0"/>
              <w:rPr>
                <w:sz w:val="20"/>
                <w:szCs w:val="20"/>
                <w:color w:val="auto"/>
              </w:rPr>
            </w:pPr>
            <w:r>
              <w:rPr>
                <w:rFonts w:ascii="Times New Roman" w:cs="Times New Roman" w:eastAsia="Times New Roman" w:hAnsi="Times New Roman"/>
                <w:sz w:val="18"/>
                <w:szCs w:val="18"/>
                <w:color w:val="333333"/>
              </w:rPr>
              <w:t>Gordon H. Smith</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580,021,980</w:t>
            </w:r>
          </w:p>
        </w:tc>
        <w:tc>
          <w:tcPr>
            <w:tcW w:w="16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37,162,959</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3,178,754</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18,020,055</w:t>
            </w:r>
          </w:p>
        </w:tc>
      </w:tr>
      <w:tr>
        <w:trPr>
          <w:trHeight w:val="27"/>
        </w:trPr>
        <w:tc>
          <w:tcPr>
            <w:tcW w:w="3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43"/>
        </w:trPr>
        <w:tc>
          <w:tcPr>
            <w:tcW w:w="3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333333"/>
              </w:rPr>
              <w:t>A. William Stein</w:t>
            </w: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606,061,799</w:t>
            </w:r>
          </w:p>
        </w:tc>
        <w:tc>
          <w:tcPr>
            <w:tcW w:w="16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8"/>
                <w:szCs w:val="18"/>
                <w:color w:val="auto"/>
              </w:rPr>
              <w:t>11,120,808</w:t>
            </w: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3,181,096</w:t>
            </w:r>
          </w:p>
        </w:tc>
        <w:tc>
          <w:tcPr>
            <w:tcW w:w="2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18,020,055</w:t>
            </w:r>
          </w:p>
        </w:tc>
      </w:tr>
      <w:tr>
        <w:trPr>
          <w:trHeight w:val="27"/>
        </w:trPr>
        <w:tc>
          <w:tcPr>
            <w:tcW w:w="3440" w:type="dxa"/>
            <w:vAlign w:val="bottom"/>
            <w:shd w:val="clear" w:color="auto" w:fill="CFF0FC"/>
          </w:tcPr>
          <w:p>
            <w:pPr>
              <w:spacing w:after="0"/>
              <w:rPr>
                <w:sz w:val="2"/>
                <w:szCs w:val="2"/>
                <w:color w:val="auto"/>
              </w:rPr>
            </w:pPr>
          </w:p>
        </w:tc>
        <w:tc>
          <w:tcPr>
            <w:tcW w:w="15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1960" w:type="dxa"/>
            <w:vAlign w:val="bottom"/>
            <w:shd w:val="clear" w:color="auto" w:fill="CFF0FC"/>
          </w:tcPr>
          <w:p>
            <w:pPr>
              <w:spacing w:after="0"/>
              <w:rPr>
                <w:sz w:val="2"/>
                <w:szCs w:val="2"/>
                <w:color w:val="auto"/>
              </w:rPr>
            </w:pPr>
          </w:p>
        </w:tc>
        <w:tc>
          <w:tcPr>
            <w:tcW w:w="2420" w:type="dxa"/>
            <w:vAlign w:val="bottom"/>
            <w:shd w:val="clear" w:color="auto" w:fill="CFF0FC"/>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Ratification of Appointment of Independent Registered Public Accountants</w:t>
      </w:r>
    </w:p>
    <w:p>
      <w:pPr>
        <w:spacing w:after="0" w:line="31" w:lineRule="exact"/>
        <w:rPr>
          <w:sz w:val="20"/>
          <w:szCs w:val="20"/>
          <w:color w:val="auto"/>
        </w:rPr>
      </w:pPr>
    </w:p>
    <w:p>
      <w:pPr>
        <w:ind w:right="200" w:firstLine="648"/>
        <w:spacing w:after="0" w:line="260" w:lineRule="auto"/>
        <w:rPr>
          <w:sz w:val="20"/>
          <w:szCs w:val="20"/>
          <w:color w:val="auto"/>
        </w:rPr>
      </w:pPr>
      <w:r>
        <w:rPr>
          <w:rFonts w:ascii="Times New Roman" w:cs="Times New Roman" w:eastAsia="Times New Roman" w:hAnsi="Times New Roman"/>
          <w:sz w:val="18"/>
          <w:szCs w:val="18"/>
          <w:color w:val="auto"/>
        </w:rPr>
        <w:t>Final votes on the ratification of the appointment of KPMG LLP as independent registered public accountants of the Company to serve for 2025 are set forth below. Accordingly, the appointment of KPMG LLP was ratified.</w:t>
      </w:r>
    </w:p>
    <w:p>
      <w:pPr>
        <w:spacing w:after="0" w:line="121"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21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FOR</w:t>
            </w:r>
          </w:p>
        </w:tc>
        <w:tc>
          <w:tcPr>
            <w:tcW w:w="264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98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318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37"/>
        </w:trPr>
        <w:tc>
          <w:tcPr>
            <w:tcW w:w="218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r>
      <w:tr>
        <w:trPr>
          <w:trHeight w:val="237"/>
        </w:trPr>
        <w:tc>
          <w:tcPr>
            <w:tcW w:w="21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606,507,439</w:t>
            </w:r>
          </w:p>
        </w:tc>
        <w:tc>
          <w:tcPr>
            <w:tcW w:w="264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rPr>
              <w:t>31,607,540</w:t>
            </w:r>
          </w:p>
        </w:tc>
        <w:tc>
          <w:tcPr>
            <w:tcW w:w="2980" w:type="dxa"/>
            <w:vAlign w:val="bottom"/>
            <w:shd w:val="clear" w:color="auto" w:fill="CFF0FC"/>
          </w:tcPr>
          <w:p>
            <w:pPr>
              <w:jc w:val="right"/>
              <w:ind w:right="1059"/>
              <w:spacing w:after="0"/>
              <w:rPr>
                <w:sz w:val="20"/>
                <w:szCs w:val="20"/>
                <w:color w:val="auto"/>
              </w:rPr>
            </w:pPr>
            <w:r>
              <w:rPr>
                <w:rFonts w:ascii="Times New Roman" w:cs="Times New Roman" w:eastAsia="Times New Roman" w:hAnsi="Times New Roman"/>
                <w:sz w:val="18"/>
                <w:szCs w:val="18"/>
                <w:color w:val="auto"/>
              </w:rPr>
              <w:t>268,780</w:t>
            </w:r>
          </w:p>
        </w:tc>
        <w:tc>
          <w:tcPr>
            <w:tcW w:w="3180" w:type="dxa"/>
            <w:vAlign w:val="bottom"/>
            <w:shd w:val="clear" w:color="auto" w:fill="CFF0FC"/>
          </w:tcPr>
          <w:p>
            <w:pPr>
              <w:jc w:val="right"/>
              <w:ind w:right="1399"/>
              <w:spacing w:after="0"/>
              <w:rPr>
                <w:sz w:val="20"/>
                <w:szCs w:val="20"/>
                <w:color w:val="auto"/>
              </w:rPr>
            </w:pPr>
            <w:r>
              <w:rPr>
                <w:rFonts w:ascii="Times New Roman" w:cs="Times New Roman" w:eastAsia="Times New Roman" w:hAnsi="Times New Roman"/>
                <w:sz w:val="18"/>
                <w:szCs w:val="18"/>
                <w:color w:val="333333"/>
              </w:rPr>
              <w:t>0</w:t>
            </w:r>
          </w:p>
        </w:tc>
      </w:tr>
      <w:tr>
        <w:trPr>
          <w:trHeight w:val="27"/>
        </w:trPr>
        <w:tc>
          <w:tcPr>
            <w:tcW w:w="2180" w:type="dxa"/>
            <w:vAlign w:val="bottom"/>
            <w:shd w:val="clear" w:color="auto" w:fill="CFF0FC"/>
          </w:tcPr>
          <w:p>
            <w:pPr>
              <w:spacing w:after="0"/>
              <w:rPr>
                <w:sz w:val="2"/>
                <w:szCs w:val="2"/>
                <w:color w:val="auto"/>
              </w:rPr>
            </w:pPr>
          </w:p>
        </w:tc>
        <w:tc>
          <w:tcPr>
            <w:tcW w:w="2640" w:type="dxa"/>
            <w:vAlign w:val="bottom"/>
            <w:shd w:val="clear" w:color="auto" w:fill="CFF0FC"/>
          </w:tcPr>
          <w:p>
            <w:pPr>
              <w:spacing w:after="0"/>
              <w:rPr>
                <w:sz w:val="2"/>
                <w:szCs w:val="2"/>
                <w:color w:val="auto"/>
              </w:rPr>
            </w:pPr>
          </w:p>
        </w:tc>
        <w:tc>
          <w:tcPr>
            <w:tcW w:w="2980" w:type="dxa"/>
            <w:vAlign w:val="bottom"/>
            <w:shd w:val="clear" w:color="auto" w:fill="CFF0FC"/>
          </w:tcPr>
          <w:p>
            <w:pPr>
              <w:spacing w:after="0"/>
              <w:rPr>
                <w:sz w:val="2"/>
                <w:szCs w:val="2"/>
                <w:color w:val="auto"/>
              </w:rPr>
            </w:pPr>
          </w:p>
        </w:tc>
        <w:tc>
          <w:tcPr>
            <w:tcW w:w="3180" w:type="dxa"/>
            <w:vAlign w:val="bottom"/>
            <w:shd w:val="clear" w:color="auto" w:fill="CFF0FC"/>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 Advisory Vote on Executive Compensation</w:t>
      </w:r>
    </w:p>
    <w:p>
      <w:pPr>
        <w:spacing w:after="0" w:line="31" w:lineRule="exact"/>
        <w:rPr>
          <w:sz w:val="20"/>
          <w:szCs w:val="20"/>
          <w:color w:val="auto"/>
        </w:rPr>
      </w:pPr>
    </w:p>
    <w:p>
      <w:pPr>
        <w:ind w:right="100" w:firstLine="648"/>
        <w:spacing w:after="0" w:line="260" w:lineRule="auto"/>
        <w:rPr>
          <w:sz w:val="20"/>
          <w:szCs w:val="20"/>
          <w:color w:val="auto"/>
        </w:rPr>
      </w:pPr>
      <w:r>
        <w:rPr>
          <w:rFonts w:ascii="Times New Roman" w:cs="Times New Roman" w:eastAsia="Times New Roman" w:hAnsi="Times New Roman"/>
          <w:sz w:val="18"/>
          <w:szCs w:val="18"/>
          <w:color w:val="auto"/>
        </w:rPr>
        <w:t>The final, non-binding, advisory votes on the Company’s executive compensation are set forth below. Accordingly, the proposal was approved by approximately 88% of the votes cast.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214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FOR</w:t>
            </w:r>
          </w:p>
        </w:tc>
        <w:tc>
          <w:tcPr>
            <w:tcW w:w="26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98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324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37"/>
        </w:trPr>
        <w:tc>
          <w:tcPr>
            <w:tcW w:w="2400" w:type="dxa"/>
            <w:vAlign w:val="bottom"/>
            <w:gridSpan w:val="2"/>
          </w:tcPr>
          <w:p>
            <w:pPr>
              <w:spacing w:after="0"/>
              <w:rPr>
                <w:sz w:val="3"/>
                <w:szCs w:val="3"/>
                <w:color w:val="auto"/>
              </w:rPr>
            </w:pPr>
          </w:p>
        </w:tc>
        <w:tc>
          <w:tcPr>
            <w:tcW w:w="2620" w:type="dxa"/>
            <w:vAlign w:val="bottom"/>
          </w:tcPr>
          <w:p>
            <w:pPr>
              <w:spacing w:after="0"/>
              <w:rPr>
                <w:sz w:val="3"/>
                <w:szCs w:val="3"/>
                <w:color w:val="auto"/>
              </w:rPr>
            </w:pPr>
          </w:p>
        </w:tc>
        <w:tc>
          <w:tcPr>
            <w:tcW w:w="2980" w:type="dxa"/>
            <w:vAlign w:val="bottom"/>
          </w:tcPr>
          <w:p>
            <w:pPr>
              <w:spacing w:after="0"/>
              <w:rPr>
                <w:sz w:val="3"/>
                <w:szCs w:val="3"/>
                <w:color w:val="auto"/>
              </w:rPr>
            </w:pPr>
          </w:p>
        </w:tc>
        <w:tc>
          <w:tcPr>
            <w:tcW w:w="3240" w:type="dxa"/>
            <w:vAlign w:val="bottom"/>
          </w:tcPr>
          <w:p>
            <w:pPr>
              <w:spacing w:after="0"/>
              <w:rPr>
                <w:sz w:val="3"/>
                <w:szCs w:val="3"/>
                <w:color w:val="auto"/>
              </w:rPr>
            </w:pPr>
          </w:p>
        </w:tc>
      </w:tr>
      <w:tr>
        <w:trPr>
          <w:trHeight w:val="243"/>
        </w:trPr>
        <w:tc>
          <w:tcPr>
            <w:tcW w:w="260" w:type="dxa"/>
            <w:vAlign w:val="bottom"/>
          </w:tcPr>
          <w:p>
            <w:pPr>
              <w:spacing w:after="0"/>
              <w:rPr>
                <w:sz w:val="21"/>
                <w:szCs w:val="21"/>
                <w:color w:val="auto"/>
              </w:rPr>
            </w:pPr>
          </w:p>
        </w:tc>
        <w:tc>
          <w:tcPr>
            <w:tcW w:w="2140" w:type="dxa"/>
            <w:vAlign w:val="bottom"/>
            <w:tcBorders>
              <w:top w:val="single" w:sz="8" w:color="auto"/>
              <w:bottom w:val="single" w:sz="8" w:color="CFF0FC"/>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543,456,949</w:t>
            </w:r>
          </w:p>
        </w:tc>
        <w:tc>
          <w:tcPr>
            <w:tcW w:w="2620" w:type="dxa"/>
            <w:vAlign w:val="bottom"/>
            <w:tcBorders>
              <w:top w:val="single" w:sz="8" w:color="auto"/>
              <w:bottom w:val="single" w:sz="8" w:color="CFF0FC"/>
            </w:tcBorders>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72,072,325</w:t>
            </w:r>
          </w:p>
        </w:tc>
        <w:tc>
          <w:tcPr>
            <w:tcW w:w="2980" w:type="dxa"/>
            <w:vAlign w:val="bottom"/>
            <w:tcBorders>
              <w:top w:val="single" w:sz="8" w:color="auto"/>
              <w:bottom w:val="single" w:sz="8" w:color="CFF0FC"/>
            </w:tcBorders>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rPr>
              <w:t>4,834,430</w:t>
            </w:r>
          </w:p>
        </w:tc>
        <w:tc>
          <w:tcPr>
            <w:tcW w:w="3240" w:type="dxa"/>
            <w:vAlign w:val="bottom"/>
            <w:tcBorders>
              <w:top w:val="single" w:sz="8" w:color="auto"/>
              <w:bottom w:val="single" w:sz="8" w:color="CFF0FC"/>
            </w:tcBorders>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rPr>
              <w:t>18,020,055</w:t>
            </w:r>
          </w:p>
        </w:tc>
      </w:tr>
      <w:tr>
        <w:trPr>
          <w:trHeight w:val="1478"/>
        </w:trPr>
        <w:tc>
          <w:tcPr>
            <w:tcW w:w="2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76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HOST HOTELS &amp; RESORTS, INC.</w:t>
            </w:r>
          </w:p>
        </w:tc>
      </w:tr>
      <w:tr>
        <w:trPr>
          <w:trHeight w:val="54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2025</w:t>
            </w:r>
          </w:p>
        </w:tc>
        <w:tc>
          <w:tcPr>
            <w:tcW w:w="34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OSEPH</w:t>
            </w:r>
            <w:r>
              <w:rPr>
                <w:rFonts w:ascii="Times New Roman" w:cs="Times New Roman" w:eastAsia="Times New Roman" w:hAnsi="Times New Roman"/>
                <w:sz w:val="18"/>
                <w:szCs w:val="18"/>
                <w:color w:val="auto"/>
              </w:rPr>
              <w:t xml:space="preserve"> C. O</w:t>
            </w:r>
            <w:r>
              <w:rPr>
                <w:rFonts w:ascii="Times New Roman" w:cs="Times New Roman" w:eastAsia="Times New Roman" w:hAnsi="Times New Roman"/>
                <w:sz w:val="12"/>
                <w:szCs w:val="12"/>
                <w:color w:val="auto"/>
              </w:rPr>
              <w:t>TTINGER</w:t>
            </w:r>
          </w:p>
        </w:tc>
      </w:tr>
      <w:tr>
        <w:trPr>
          <w:trHeight w:val="27"/>
        </w:trPr>
        <w:tc>
          <w:tcPr>
            <w:tcW w:w="30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34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Joseph C. Ottinger</w:t>
            </w:r>
          </w:p>
        </w:tc>
      </w:tr>
      <w:tr>
        <w:trPr>
          <w:trHeight w:val="270"/>
        </w:trPr>
        <w:tc>
          <w:tcPr>
            <w:tcW w:w="3060" w:type="dxa"/>
            <w:vAlign w:val="bottom"/>
          </w:tcPr>
          <w:p>
            <w:pPr>
              <w:spacing w:after="0"/>
              <w:rPr>
                <w:sz w:val="23"/>
                <w:szCs w:val="23"/>
                <w:color w:val="auto"/>
              </w:rPr>
            </w:pPr>
          </w:p>
        </w:tc>
        <w:tc>
          <w:tcPr>
            <w:tcW w:w="34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Vice President and Corporate Controller</w:t>
            </w:r>
          </w:p>
        </w:tc>
      </w:tr>
    </w:tbl>
    <w:p>
      <w:pPr>
        <w:spacing w:after="0" w:line="1" w:lineRule="exact"/>
        <w:rPr>
          <w:sz w:val="20"/>
          <w:szCs w:val="20"/>
          <w:color w:val="auto"/>
        </w:rPr>
      </w:pPr>
    </w:p>
    <w:sectPr>
      <w:pgSz w:w="11900" w:h="16838" w:orient="portrait"/>
      <w:cols w:equalWidth="0" w:num="1">
        <w:col w:w="11160"/>
      </w:cols>
      <w:pgMar w:left="320" w:top="114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2025-05-16T15:37:34Z</dcterms:created>
  <dcterms:modified xsi:type="dcterms:W3CDTF">2025-05-16T15:37:34Z</dcterms:modified>
</cp:coreProperties>
</file>