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filed with the Securities and Exchange Commission on June 12, 2025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Registration No. 333-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UNITED STATES </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S-3</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REGISTRATION STATEMENT</w:t>
      </w:r>
    </w:p>
    <w:p>
      <w:pPr>
        <w:pStyle w:val="TextBody"/>
        <w:bidi w:val="0"/>
        <w:spacing w:lineRule="auto" w:line="288" w:before="0" w:after="0"/>
        <w:jc w:val="center"/>
        <w:rPr>
          <w:rFonts w:ascii="Times New Roman;sans-serif" w:hAnsi="Times New Roman;sans-serif"/>
          <w:b/>
          <w:i/>
          <w:color w:val="000000"/>
          <w:sz w:val="28"/>
        </w:rPr>
      </w:pPr>
      <w:r>
        <w:rPr>
          <w:rFonts w:ascii="Times New Roman;sans-serif" w:hAnsi="Times New Roman;sans-serif"/>
          <w:b/>
          <w:i/>
          <w:color w:val="000000"/>
          <w:sz w:val="28"/>
        </w:rPr>
        <w:t>UNDER</w:t>
      </w:r>
    </w:p>
    <w:p>
      <w:pPr>
        <w:pStyle w:val="TextBody"/>
        <w:bidi w:val="0"/>
        <w:spacing w:lineRule="auto" w:line="288" w:before="0" w:after="0"/>
        <w:jc w:val="center"/>
        <w:rPr>
          <w:rFonts w:ascii="Times New Roman;sans-serif" w:hAnsi="Times New Roman;sans-serif"/>
          <w:b/>
          <w:i/>
          <w:color w:val="000000"/>
          <w:sz w:val="28"/>
        </w:rPr>
      </w:pPr>
      <w:r>
        <w:rPr>
          <w:rFonts w:ascii="Times New Roman;sans-serif" w:hAnsi="Times New Roman;sans-serif"/>
          <w:b/>
          <w:i/>
          <w:color w:val="000000"/>
          <w:sz w:val="28"/>
        </w:rPr>
        <w:t>THE SECURITIES ACT OF 1933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HOST HOTELS &amp; RESORTS, L.P.</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512" w:type="dxa"/>
        <w:jc w:val="left"/>
        <w:tblInd w:w="0" w:type="dxa"/>
        <w:tblLayout w:type="fixed"/>
        <w:tblCellMar>
          <w:top w:w="28" w:type="dxa"/>
          <w:left w:w="28" w:type="dxa"/>
          <w:bottom w:w="28" w:type="dxa"/>
          <w:right w:w="28" w:type="dxa"/>
        </w:tblCellMar>
      </w:tblPr>
      <w:tblGrid>
        <w:gridCol w:w="857"/>
        <w:gridCol w:w="751"/>
        <w:gridCol w:w="762"/>
        <w:gridCol w:w="109"/>
        <w:gridCol w:w="109"/>
        <w:gridCol w:w="109"/>
        <w:gridCol w:w="530"/>
        <w:gridCol w:w="530"/>
        <w:gridCol w:w="755"/>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52-2095412</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Number)</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4747 Bethesda Ave., Suite 1300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Bethesda, Maryland 20814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(240) 744-1000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including zip code, and telephone number, including area code, of registrant’s principal executive offices)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Julie P. Aslaksen, Esq.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Executive Vice President, Secretary and General Counsel</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Host Hotels &amp; Resorts,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4747 Bethesda Ave., Suite 1300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Bethesda, Maryland 20814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(240) 744-1000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(Name, address, including zip code, and telephone number, including area code, of agent for service)</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Copies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Jason M. Licht, Esq.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Latham &amp; Watkins LLP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555 11th Street, N.W. Suite 1000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20004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 637-2200</w:t>
      </w:r>
    </w:p>
    <w:p>
      <w:pPr>
        <w:pStyle w:val="TextBody"/>
        <w:bidi w:val="0"/>
        <w:spacing w:lineRule="auto" w:line="288" w:before="0" w:after="0"/>
        <w:jc w:val="left"/>
        <w:rPr/>
      </w:pPr>
      <w:r>
        <w:rPr>
          <w:rFonts w:ascii="Times New Roman;sans-serif" w:hAnsi="Times New Roman;sans-serif"/>
          <w:b/>
          <w:color w:val="000000"/>
          <w:sz w:val="20"/>
        </w:rPr>
        <w:t>APPROXIMATE DATE OF COMMENCEMENT OF PROPOSED SALE TO THE PUBLIC:</w:t>
      </w:r>
      <w:r>
        <w:rPr>
          <w:color w:val="000000"/>
        </w:rPr>
        <w:t xml:space="preserve"> </w:t>
      </w:r>
      <w:r>
        <w:rPr>
          <w:rFonts w:ascii="Times New Roman;sans-serif" w:hAnsi="Times New Roman;sans-serif"/>
          <w:b w:val="false"/>
          <w:color w:val="000000"/>
          <w:sz w:val="20"/>
        </w:rPr>
        <w:t xml:space="preserve">From time to time after the effective date of this registration statement.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the only securities being registered on this Form are being offered pursuant to dividend or interest reinvestment plans, please check the following box.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this Form is a registration statement pursuant to General Instruction I.D. or a post-effective amendment thereto that shall become effective on filing with the Commission pursuant to Rule 462(e) under the Securities Act, check the following box.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44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94"/>
        <w:gridCol w:w="694"/>
        <w:gridCol w:w="69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color w:val="F1665F"/>
          <w:sz w:val="20"/>
        </w:rPr>
      </w:pPr>
      <w:r>
        <w:rPr>
          <w:rFonts w:ascii="Times New Roman;sans-serif" w:hAnsi="Times New Roman;sans-serif"/>
          <w:b/>
          <w:color w:val="F1665F"/>
          <w:sz w:val="20"/>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pStyle w:val="TextBody"/>
        <w:bidi w:val="0"/>
        <w:spacing w:lineRule="auto" w:line="288" w:before="0" w:after="240"/>
        <w:jc w:val="center"/>
        <w:rPr>
          <w:rFonts w:ascii="Times New Roman;sans-serif" w:hAnsi="Times New Roman;sans-serif"/>
          <w:b/>
          <w:color w:val="F1665F"/>
          <w:sz w:val="20"/>
        </w:rPr>
      </w:pPr>
      <w:r>
        <w:rPr>
          <w:rFonts w:ascii="Times New Roman;sans-serif" w:hAnsi="Times New Roman;sans-serif"/>
          <w:b/>
          <w:color w:val="F1665F"/>
          <w:sz w:val="20"/>
        </w:rPr>
        <w:t>Subject to Completion, dated June 12, 2025</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PROSPECTUS</w:t>
      </w:r>
    </w:p>
    <w:p>
      <w:pPr>
        <w:pStyle w:val="TextBody"/>
        <w:bidi w:val="0"/>
        <w:spacing w:before="0" w:after="180"/>
        <w:jc w:val="center"/>
        <w:rPr/>
      </w:pPr>
      <w:r>
        <w:rPr/>
        <w:drawing>
          <wp:inline distT="0" distB="0" distL="0" distR="0">
            <wp:extent cx="1943100" cy="11811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943100" cy="1181100"/>
                    </a:xfrm>
                    <a:prstGeom prst="rect">
                      <a:avLst/>
                    </a:prstGeom>
                  </pic:spPr>
                </pic:pic>
              </a:graphicData>
            </a:graphic>
          </wp:inline>
        </w:drawing>
      </w:r>
    </w:p>
    <w:p>
      <w:pPr>
        <w:pStyle w:val="TextBody"/>
        <w:bidi w:val="0"/>
        <w:spacing w:lineRule="auto" w:line="288" w:before="0" w:after="240"/>
        <w:jc w:val="center"/>
        <w:rPr>
          <w:rFonts w:ascii="Times New Roman;sans-serif" w:hAnsi="Times New Roman;sans-serif"/>
          <w:b/>
          <w:color w:val="000000"/>
          <w:sz w:val="32"/>
        </w:rPr>
      </w:pPr>
      <w:r>
        <w:rPr>
          <w:rFonts w:ascii="Times New Roman;sans-serif" w:hAnsi="Times New Roman;sans-serif"/>
          <w:b/>
          <w:color w:val="000000"/>
          <w:sz w:val="32"/>
        </w:rPr>
        <w:t xml:space="preserve">Host Hotels &amp; Resorts, L.P. </w:t>
      </w:r>
    </w:p>
    <w:p>
      <w:pPr>
        <w:pStyle w:val="TextBody"/>
        <w:bidi w:val="0"/>
        <w:spacing w:lineRule="auto" w:line="288" w:before="0" w:after="240"/>
        <w:jc w:val="center"/>
        <w:rPr>
          <w:rFonts w:ascii="Times New Roman;sans-serif" w:hAnsi="Times New Roman;sans-serif"/>
          <w:b/>
          <w:color w:val="000000"/>
          <w:sz w:val="36"/>
        </w:rPr>
      </w:pPr>
      <w:r>
        <w:rPr>
          <w:rFonts w:ascii="Times New Roman;sans-serif" w:hAnsi="Times New Roman;sans-serif"/>
          <w:b/>
          <w:color w:val="000000"/>
          <w:sz w:val="36"/>
        </w:rPr>
        <w:t>$2,000,000,000</w:t>
      </w:r>
    </w:p>
    <w:p>
      <w:pPr>
        <w:pStyle w:val="TextBody"/>
        <w:bidi w:val="0"/>
        <w:spacing w:lineRule="auto" w:line="288" w:before="0" w:after="240"/>
        <w:jc w:val="center"/>
        <w:rPr>
          <w:rFonts w:ascii="Times New Roman;sans-serif" w:hAnsi="Times New Roman;sans-serif"/>
          <w:b/>
          <w:color w:val="000000"/>
          <w:sz w:val="36"/>
        </w:rPr>
      </w:pPr>
      <w:r>
        <w:rPr>
          <w:rFonts w:ascii="Times New Roman;sans-serif" w:hAnsi="Times New Roman;sans-serif"/>
          <w:b/>
          <w:color w:val="000000"/>
          <w:sz w:val="36"/>
        </w:rPr>
        <w:t xml:space="preserve">Debt Securities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offer and sell up to $2,000,000,000 in the aggregate of the securities identified above from time to time in one or more offerings. We will determine when we sell securities, the amounts of securities we will sell and the prices and other terms on which we will sell them. This prospectus provides you with a general description of the securities.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lineRule="auto" w:line="288" w:before="0" w:after="180"/>
        <w:jc w:val="left"/>
        <w:rPr/>
      </w:pPr>
      <w:r>
        <w:rPr>
          <w:rFonts w:ascii="Times New Roman;sans-serif" w:hAnsi="Times New Roman;sans-serif"/>
          <w:b/>
          <w:color w:val="000000"/>
          <w:sz w:val="20"/>
        </w:rPr>
        <w:t>INVESTING IN OUR SECURITIES INVOLVES RISKS. SEE THE “</w:t>
      </w:r>
      <w:hyperlink w:anchor="i828c8d6df1b64850a1d6770319ac653e_19">
        <w:r>
          <w:rPr>
            <w:rStyle w:val="InternetLink"/>
            <w:rFonts w:ascii="Times New Roman;sans-serif" w:hAnsi="Times New Roman;sans-serif"/>
            <w:b/>
            <w:color w:val="0000FF"/>
            <w:sz w:val="20"/>
            <w:u w:val="single"/>
          </w:rPr>
          <w:t>RISK FACTORS</w:t>
        </w:r>
      </w:hyperlink>
      <w:r>
        <w:rPr>
          <w:color w:val="000000"/>
        </w:rPr>
        <w:t xml:space="preserve">” </w:t>
      </w:r>
      <w:r>
        <w:rPr>
          <w:rFonts w:ascii="Times New Roman;sans-serif" w:hAnsi="Times New Roman;sans-serif"/>
          <w:b/>
          <w:color w:val="000000"/>
          <w:sz w:val="20"/>
        </w:rPr>
        <w:t xml:space="preserve">ON PAGE </w:t>
      </w:r>
      <w:hyperlink w:anchor="i828c8d6df1b64850a1d6770319ac653e_19">
        <w:r>
          <w:rPr>
            <w:rStyle w:val="InternetLink"/>
            <w:rFonts w:ascii="Times New Roman;sans-serif" w:hAnsi="Times New Roman;sans-serif"/>
            <w:b/>
            <w:color w:val="0000FF"/>
            <w:sz w:val="20"/>
            <w:u w:val="single"/>
          </w:rPr>
          <w:t>5</w:t>
        </w:r>
      </w:hyperlink>
      <w:r>
        <w:rPr>
          <w:color w:val="000000"/>
        </w:rPr>
        <w:t xml:space="preserve"> </w:t>
      </w:r>
      <w:r>
        <w:rPr>
          <w:rFonts w:ascii="Times New Roman;sans-serif" w:hAnsi="Times New Roman;sans-serif"/>
          <w:b/>
          <w:color w:val="000000"/>
          <w:sz w:val="20"/>
        </w:rPr>
        <w:t>OF THIS PROSPECTUS AND ANY SIMILAR SECTION CONTAINED IN THE APPLICABLE PROSPECTUS SUPPLEMENT CONCERNING FACTORS YOU SHOULD CONSIDER BEFORE INVESTING IN OUR SECURITIES.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The date of this prospectus is                    ,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7707" w:type="dxa"/>
        <w:jc w:val="left"/>
        <w:tblInd w:w="0" w:type="dxa"/>
        <w:tblLayout w:type="fixed"/>
        <w:tblCellMar>
          <w:top w:w="28" w:type="dxa"/>
          <w:left w:w="28" w:type="dxa"/>
          <w:bottom w:w="28" w:type="dxa"/>
          <w:right w:w="28" w:type="dxa"/>
        </w:tblCellMar>
      </w:tblPr>
      <w:tblGrid>
        <w:gridCol w:w="2655"/>
        <w:gridCol w:w="2334"/>
        <w:gridCol w:w="2346"/>
        <w:gridCol w:w="109"/>
        <w:gridCol w:w="109"/>
        <w:gridCol w:w="154"/>
      </w:tblGrid>
      <w:tr>
        <w:trPr/>
        <w:tc>
          <w:tcPr>
            <w:tcW w:w="2655"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28c8d6df1b64850a1d6770319ac653e_10">
              <w:r>
                <w:rPr>
                  <w:rStyle w:val="InternetLink"/>
                  <w:rFonts w:ascii="Times New Roman;sans-serif" w:hAnsi="Times New Roman;sans-serif"/>
                  <w:b w:val="false"/>
                  <w:color w:val="0000FF"/>
                  <w:sz w:val="20"/>
                  <w:u w:val="single"/>
                </w:rPr>
                <w:t>ABOUT THIS PROSPECTUS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c8d6df1b64850a1d6770319ac653e_10">
              <w:r>
                <w:rPr>
                  <w:rStyle w:val="InternetLink"/>
                  <w:rFonts w:ascii="Times New Roman;sans-serif" w:hAnsi="Times New Roman;sans-serif"/>
                  <w:b w:val="false"/>
                  <w:strike w:val="false"/>
                  <w:dstrike w:val="false"/>
                  <w:color w:val="0000FF"/>
                  <w:sz w:val="20"/>
                  <w:u w:val="none"/>
                  <w:effect w:val="none"/>
                </w:rPr>
                <w:t>1</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28c8d6df1b64850a1d6770319ac653e_13">
              <w:r>
                <w:rPr>
                  <w:rStyle w:val="InternetLink"/>
                  <w:rFonts w:ascii="Times New Roman;sans-serif" w:hAnsi="Times New Roman;sans-serif"/>
                  <w:b w:val="false"/>
                  <w:color w:val="0000FF"/>
                  <w:sz w:val="20"/>
                  <w:u w:val="single"/>
                </w:rPr>
                <w:t>WHERE YOU CAN FIND MORE INFORMATION; INCORPORATION BY REFERENCE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c8d6df1b64850a1d6770319ac653e_13">
              <w:r>
                <w:rPr>
                  <w:rStyle w:val="InternetLink"/>
                  <w:rFonts w:ascii="Times New Roman;sans-serif" w:hAnsi="Times New Roman;sans-serif"/>
                  <w:b w:val="false"/>
                  <w:strike w:val="false"/>
                  <w:dstrike w:val="false"/>
                  <w:color w:val="0000FF"/>
                  <w:sz w:val="20"/>
                  <w:u w:val="none"/>
                  <w:effect w:val="none"/>
                </w:rPr>
                <w:t>2</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28c8d6df1b64850a1d6770319ac653e_16">
              <w:r>
                <w:rPr>
                  <w:rStyle w:val="InternetLink"/>
                  <w:rFonts w:ascii="Times New Roman;sans-serif" w:hAnsi="Times New Roman;sans-serif"/>
                  <w:b w:val="false"/>
                  <w:color w:val="0000FF"/>
                  <w:sz w:val="20"/>
                  <w:u w:val="single"/>
                </w:rPr>
                <w:t>THE COMPANY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c8d6df1b64850a1d6770319ac653e_16">
              <w:r>
                <w:rPr>
                  <w:rStyle w:val="InternetLink"/>
                  <w:rFonts w:ascii="Times New Roman;sans-serif" w:hAnsi="Times New Roman;sans-serif"/>
                  <w:b w:val="false"/>
                  <w:strike w:val="false"/>
                  <w:dstrike w:val="false"/>
                  <w:color w:val="0000FF"/>
                  <w:sz w:val="20"/>
                  <w:u w:val="none"/>
                  <w:effect w:val="none"/>
                </w:rPr>
                <w:t>4</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28c8d6df1b64850a1d6770319ac653e_19">
              <w:r>
                <w:rPr>
                  <w:rStyle w:val="InternetLink"/>
                  <w:rFonts w:ascii="Times New Roman;sans-serif" w:hAnsi="Times New Roman;sans-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c8d6df1b64850a1d6770319ac653e_19">
              <w:r>
                <w:rPr>
                  <w:rStyle w:val="InternetLink"/>
                  <w:rFonts w:ascii="Times New Roman;sans-serif" w:hAnsi="Times New Roman;sans-serif"/>
                  <w:b w:val="false"/>
                  <w:strike w:val="false"/>
                  <w:dstrike w:val="false"/>
                  <w:color w:val="0000FF"/>
                  <w:sz w:val="20"/>
                  <w:u w:val="none"/>
                  <w:effect w:val="none"/>
                </w:rPr>
                <w:t>5</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28c8d6df1b64850a1d6770319ac653e_22">
              <w:r>
                <w:rPr>
                  <w:rStyle w:val="InternetLink"/>
                  <w:rFonts w:ascii="Times New Roman;sans-serif" w:hAnsi="Times New Roman;sans-serif"/>
                  <w:b w:val="false"/>
                  <w:color w:val="0000FF"/>
                  <w:sz w:val="20"/>
                  <w:u w:val="single"/>
                </w:rPr>
                <w:t>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c8d6df1b64850a1d6770319ac653e_22">
              <w:r>
                <w:rPr>
                  <w:rStyle w:val="InternetLink"/>
                  <w:rFonts w:ascii="Times New Roman;sans-serif" w:hAnsi="Times New Roman;sans-serif"/>
                  <w:b w:val="false"/>
                  <w:strike w:val="false"/>
                  <w:dstrike w:val="false"/>
                  <w:color w:val="0000FF"/>
                  <w:sz w:val="20"/>
                  <w:u w:val="none"/>
                  <w:effect w:val="none"/>
                </w:rPr>
                <w:t>6</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28c8d6df1b64850a1d6770319ac653e_25">
              <w:r>
                <w:rPr>
                  <w:rStyle w:val="InternetLink"/>
                  <w:rFonts w:ascii="Times New Roman;sans-serif" w:hAnsi="Times New Roman;sans-serif"/>
                  <w:b w:val="false"/>
                  <w:color w:val="0000FF"/>
                  <w:sz w:val="20"/>
                  <w:u w:val="single"/>
                </w:rPr>
                <w:t>DESCRIPTION OF DEBT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c8d6df1b64850a1d6770319ac653e_25">
              <w:r>
                <w:rPr>
                  <w:rStyle w:val="InternetLink"/>
                  <w:rFonts w:ascii="Times New Roman;sans-serif" w:hAnsi="Times New Roman;sans-serif"/>
                  <w:b w:val="false"/>
                  <w:strike w:val="false"/>
                  <w:dstrike w:val="false"/>
                  <w:color w:val="0000FF"/>
                  <w:sz w:val="20"/>
                  <w:u w:val="none"/>
                  <w:effect w:val="none"/>
                </w:rPr>
                <w:t>7</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28c8d6df1b64850a1d6770319ac653e_28">
              <w:r>
                <w:rPr>
                  <w:rStyle w:val="InternetLink"/>
                  <w:rFonts w:ascii="Times New Roman;sans-serif" w:hAnsi="Times New Roman;sans-serif"/>
                  <w:b w:val="false"/>
                  <w:color w:val="0000FF"/>
                  <w:sz w:val="20"/>
                  <w:u w:val="single"/>
                </w:rPr>
                <w:t>GLOBAL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c8d6df1b64850a1d6770319ac653e_28">
              <w:r>
                <w:rPr>
                  <w:rStyle w:val="InternetLink"/>
                  <w:rFonts w:ascii="Times New Roman;sans-serif" w:hAnsi="Times New Roman;sans-serif"/>
                  <w:b w:val="false"/>
                  <w:strike w:val="false"/>
                  <w:dstrike w:val="false"/>
                  <w:color w:val="0000FF"/>
                  <w:sz w:val="20"/>
                  <w:u w:val="none"/>
                  <w:effect w:val="none"/>
                </w:rPr>
                <w:t>16</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28c8d6df1b64850a1d6770319ac653e_31">
              <w:r>
                <w:rPr>
                  <w:rStyle w:val="InternetLink"/>
                  <w:rFonts w:ascii="Times New Roman;sans-serif" w:hAnsi="Times New Roman;sans-serif"/>
                  <w:b w:val="false"/>
                  <w:color w:val="0000FF"/>
                  <w:sz w:val="20"/>
                  <w:u w:val="single"/>
                </w:rPr>
                <w:t>PLAN OF DISTRIBUTION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c8d6df1b64850a1d6770319ac653e_31">
              <w:r>
                <w:rPr>
                  <w:rStyle w:val="InternetLink"/>
                  <w:rFonts w:ascii="Times New Roman;sans-serif" w:hAnsi="Times New Roman;sans-serif"/>
                  <w:b w:val="false"/>
                  <w:strike w:val="false"/>
                  <w:dstrike w:val="false"/>
                  <w:color w:val="0000FF"/>
                  <w:sz w:val="20"/>
                  <w:u w:val="none"/>
                  <w:effect w:val="none"/>
                </w:rPr>
                <w:t>20</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28c8d6df1b64850a1d6770319ac653e_34">
              <w:r>
                <w:rPr>
                  <w:rStyle w:val="InternetLink"/>
                  <w:rFonts w:ascii="Times New Roman;sans-serif" w:hAnsi="Times New Roman;sans-serif"/>
                  <w:b w:val="false"/>
                  <w:color w:val="0000FF"/>
                  <w:sz w:val="20"/>
                  <w:u w:val="single"/>
                </w:rPr>
                <w:t>LEGAL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c8d6df1b64850a1d6770319ac653e_34">
              <w:r>
                <w:rPr>
                  <w:rStyle w:val="InternetLink"/>
                  <w:rFonts w:ascii="Times New Roman;sans-serif" w:hAnsi="Times New Roman;sans-serif"/>
                  <w:b w:val="false"/>
                  <w:strike w:val="false"/>
                  <w:dstrike w:val="false"/>
                  <w:color w:val="0000FF"/>
                  <w:sz w:val="20"/>
                  <w:u w:val="none"/>
                  <w:effect w:val="none"/>
                </w:rPr>
                <w:t>22</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28c8d6df1b64850a1d6770319ac653e_37">
              <w:r>
                <w:rPr>
                  <w:rStyle w:val="InternetLink"/>
                  <w:rFonts w:ascii="Times New Roman;sans-serif" w:hAnsi="Times New Roman;sans-serif"/>
                  <w:b w:val="false"/>
                  <w:color w:val="0000FF"/>
                  <w:sz w:val="20"/>
                  <w:u w:val="single"/>
                </w:rPr>
                <w:t>EXPERTS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c8d6df1b64850a1d6770319ac653e_37">
              <w:r>
                <w:rPr>
                  <w:rStyle w:val="InternetLink"/>
                  <w:rFonts w:ascii="Times New Roman;sans-serif" w:hAnsi="Times New Roman;sans-serif"/>
                  <w:b w:val="false"/>
                  <w:strike w:val="false"/>
                  <w:dstrike w:val="false"/>
                  <w:color w:val="0000FF"/>
                  <w:sz w:val="20"/>
                  <w:u w:val="none"/>
                  <w:effect w:val="none"/>
                </w:rPr>
                <w:t>22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ABOUT THIS PROSPECTUS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prospectus is part of a registration statement that we filed with the U.S. Securities and Exchange Commission (the “Commission” or “SEC”), using a “shelf” registration process. By using a shelf registration statement, we may sell securities from time to time and in one or more offerings up to a total dollar amount of $2,000,000,000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specified or the context otherwise requires, references to “Host Inc.” mean Host Hotels &amp; Resorts, Inc. and references to “Host L.P.” mean Host Hotels &amp; Resorts, L.P. in cases where it is important to distinguish between Host Inc. and Host L.P. We use the terms “we,” “our” or “the company” to refer to Host Inc. and Host L.P. together, along with Host L.P.’s consolidated subsidiaries, unless the context indicates otherwise. Host Inc. and Host L.P. file combined periodic reports with the SEC, certain of which are incorporated by reference herein. When we refer to “you,” we mean the potential holders of the applicable series of securities. </w:t>
      </w:r>
    </w:p>
    <w:p>
      <w:pPr>
        <w:pStyle w:val="TextBody"/>
        <w:bidi w:val="0"/>
        <w:spacing w:lineRule="auto" w:line="288" w:before="0" w:after="180"/>
        <w:jc w:val="left"/>
        <w:rPr/>
      </w:pPr>
      <w:r>
        <w:rPr>
          <w:rFonts w:ascii="Times New Roman;sans-serif" w:hAnsi="Times New Roman;sans-serif"/>
          <w:b w:val="false"/>
          <w:color w:val="000000"/>
          <w:sz w:val="20"/>
        </w:rPr>
        <w:t>This prospectus and the documents incorporated by reference herein contain registered trademarks, service marks and brand names that are the exclusive property of their respective owners, which are companies other than us, including 1 Hotels</w:t>
      </w:r>
      <w:r>
        <w:rPr>
          <w:rFonts w:ascii="Times New Roman;sans-serif" w:hAnsi="Times New Roman;sans-serif"/>
          <w:b w:val="false"/>
          <w:color w:val="000000"/>
          <w:sz w:val="13"/>
        </w:rPr>
        <w:t>®</w:t>
      </w:r>
      <w:r>
        <w:rPr>
          <w:rFonts w:ascii="Times New Roman;sans-serif" w:hAnsi="Times New Roman;sans-serif"/>
          <w:b w:val="false"/>
          <w:color w:val="000000"/>
          <w:sz w:val="20"/>
        </w:rPr>
        <w:t>, Alila</w:t>
      </w:r>
      <w:r>
        <w:rPr>
          <w:rFonts w:ascii="Times New Roman;sans-serif" w:hAnsi="Times New Roman;sans-serif"/>
          <w:b w:val="false"/>
          <w:color w:val="000000"/>
          <w:sz w:val="13"/>
        </w:rPr>
        <w:t>®</w:t>
      </w:r>
      <w:r>
        <w:rPr>
          <w:rFonts w:ascii="Times New Roman;sans-serif" w:hAnsi="Times New Roman;sans-serif"/>
          <w:b w:val="false"/>
          <w:color w:val="000000"/>
          <w:sz w:val="20"/>
        </w:rPr>
        <w:t>, Andaz</w:t>
      </w:r>
      <w:r>
        <w:rPr>
          <w:rFonts w:ascii="Times New Roman;sans-serif" w:hAnsi="Times New Roman;sans-serif"/>
          <w:b w:val="false"/>
          <w:color w:val="000000"/>
          <w:sz w:val="13"/>
        </w:rPr>
        <w:t>®</w:t>
      </w:r>
      <w:r>
        <w:rPr>
          <w:rFonts w:ascii="Times New Roman;sans-serif" w:hAnsi="Times New Roman;sans-serif"/>
          <w:b w:val="false"/>
          <w:color w:val="000000"/>
          <w:sz w:val="20"/>
        </w:rPr>
        <w:t>, Fairmont</w:t>
      </w:r>
      <w:r>
        <w:rPr>
          <w:rFonts w:ascii="Times New Roman;sans-serif" w:hAnsi="Times New Roman;sans-serif"/>
          <w:b w:val="false"/>
          <w:color w:val="000000"/>
          <w:sz w:val="13"/>
        </w:rPr>
        <w:t>®</w:t>
      </w:r>
      <w:r>
        <w:rPr>
          <w:rFonts w:ascii="Times New Roman;sans-serif" w:hAnsi="Times New Roman;sans-serif"/>
          <w:b w:val="false"/>
          <w:color w:val="000000"/>
          <w:sz w:val="20"/>
        </w:rPr>
        <w:t>, Four Seasons</w:t>
      </w:r>
      <w:r>
        <w:rPr>
          <w:rFonts w:ascii="Times New Roman;sans-serif" w:hAnsi="Times New Roman;sans-serif"/>
          <w:b w:val="false"/>
          <w:color w:val="000000"/>
          <w:sz w:val="13"/>
        </w:rPr>
        <w:t>®</w:t>
      </w:r>
      <w:r>
        <w:rPr>
          <w:rFonts w:ascii="Times New Roman;sans-serif" w:hAnsi="Times New Roman;sans-serif"/>
          <w:b w:val="false"/>
          <w:color w:val="000000"/>
          <w:sz w:val="20"/>
        </w:rPr>
        <w:t>, Grand Hyatt</w:t>
      </w:r>
      <w:r>
        <w:rPr>
          <w:rFonts w:ascii="Times New Roman;sans-serif" w:hAnsi="Times New Roman;sans-serif"/>
          <w:b w:val="false"/>
          <w:color w:val="000000"/>
          <w:sz w:val="13"/>
        </w:rPr>
        <w:t>®</w:t>
      </w:r>
      <w:r>
        <w:rPr>
          <w:rFonts w:ascii="Times New Roman;sans-serif" w:hAnsi="Times New Roman;sans-serif"/>
          <w:b w:val="false"/>
          <w:color w:val="000000"/>
          <w:sz w:val="20"/>
        </w:rPr>
        <w:t>, JW Marriott</w:t>
      </w:r>
      <w:r>
        <w:rPr>
          <w:rFonts w:ascii="Times New Roman;sans-serif" w:hAnsi="Times New Roman;sans-serif"/>
          <w:b w:val="false"/>
          <w:color w:val="000000"/>
          <w:sz w:val="13"/>
        </w:rPr>
        <w:t>®</w:t>
      </w:r>
      <w:r>
        <w:rPr>
          <w:rFonts w:ascii="Times New Roman;sans-serif" w:hAnsi="Times New Roman;sans-serif"/>
          <w:b w:val="false"/>
          <w:color w:val="000000"/>
          <w:sz w:val="20"/>
        </w:rPr>
        <w:t>, Ritz-Carlton</w:t>
      </w:r>
      <w:r>
        <w:rPr>
          <w:rFonts w:ascii="Times New Roman;sans-serif" w:hAnsi="Times New Roman;sans-serif"/>
          <w:b w:val="false"/>
          <w:color w:val="000000"/>
          <w:sz w:val="13"/>
        </w:rPr>
        <w:t>®</w:t>
      </w:r>
      <w:r>
        <w:rPr>
          <w:rFonts w:ascii="Times New Roman;sans-serif" w:hAnsi="Times New Roman;sans-serif"/>
          <w:b w:val="false"/>
          <w:color w:val="000000"/>
          <w:sz w:val="20"/>
        </w:rPr>
        <w:t>, St. Regis</w:t>
      </w:r>
      <w:r>
        <w:rPr>
          <w:rFonts w:ascii="Times New Roman;sans-serif" w:hAnsi="Times New Roman;sans-serif"/>
          <w:b w:val="false"/>
          <w:color w:val="000000"/>
          <w:sz w:val="13"/>
        </w:rPr>
        <w:t>®</w:t>
      </w:r>
      <w:r>
        <w:rPr>
          <w:rFonts w:ascii="Times New Roman;sans-serif" w:hAnsi="Times New Roman;sans-serif"/>
          <w:b w:val="false"/>
          <w:color w:val="000000"/>
          <w:sz w:val="20"/>
        </w:rPr>
        <w:t>, The Don Cesar</w:t>
      </w:r>
      <w:r>
        <w:rPr>
          <w:rFonts w:ascii="Times New Roman;sans-serif" w:hAnsi="Times New Roman;sans-serif"/>
          <w:b w:val="false"/>
          <w:color w:val="000000"/>
          <w:sz w:val="13"/>
        </w:rPr>
        <w:t>®</w:t>
      </w:r>
      <w:r>
        <w:rPr>
          <w:rFonts w:ascii="Times New Roman;sans-serif" w:hAnsi="Times New Roman;sans-serif"/>
          <w:b w:val="false"/>
          <w:color w:val="000000"/>
          <w:sz w:val="20"/>
        </w:rPr>
        <w:t>, The Luxury Collection</w:t>
      </w:r>
      <w:r>
        <w:rPr>
          <w:rFonts w:ascii="Times New Roman;sans-serif" w:hAnsi="Times New Roman;sans-serif"/>
          <w:b w:val="false"/>
          <w:color w:val="000000"/>
          <w:sz w:val="13"/>
        </w:rPr>
        <w:t>®</w:t>
      </w:r>
      <w:r>
        <w:rPr>
          <w:rFonts w:ascii="Times New Roman;sans-serif" w:hAnsi="Times New Roman;sans-serif"/>
          <w:b w:val="false"/>
          <w:color w:val="000000"/>
          <w:sz w:val="20"/>
        </w:rPr>
        <w:t>, W</w:t>
      </w:r>
      <w:r>
        <w:rPr>
          <w:rFonts w:ascii="Times New Roman;sans-serif" w:hAnsi="Times New Roman;sans-serif"/>
          <w:b w:val="false"/>
          <w:color w:val="000000"/>
          <w:sz w:val="13"/>
        </w:rPr>
        <w:t>®</w:t>
      </w:r>
      <w:r>
        <w:rPr>
          <w:rFonts w:ascii="Times New Roman;sans-serif" w:hAnsi="Times New Roman;sans-serif"/>
          <w:b w:val="false"/>
          <w:color w:val="000000"/>
          <w:sz w:val="20"/>
        </w:rPr>
        <w:t>, Autograph Collection</w:t>
      </w:r>
      <w:r>
        <w:rPr>
          <w:rFonts w:ascii="Times New Roman;sans-serif" w:hAnsi="Times New Roman;sans-serif"/>
          <w:b w:val="false"/>
          <w:color w:val="000000"/>
          <w:sz w:val="13"/>
        </w:rPr>
        <w:t>®</w:t>
      </w:r>
      <w:r>
        <w:rPr>
          <w:rFonts w:ascii="Times New Roman;sans-serif" w:hAnsi="Times New Roman;sans-serif"/>
          <w:b w:val="false"/>
          <w:color w:val="000000"/>
          <w:sz w:val="20"/>
        </w:rPr>
        <w:t>, Curio – A Collection by Hilton</w:t>
      </w:r>
      <w:r>
        <w:rPr>
          <w:rFonts w:ascii="Times New Roman;sans-serif" w:hAnsi="Times New Roman;sans-serif"/>
          <w:b w:val="false"/>
          <w:color w:val="000000"/>
          <w:sz w:val="13"/>
        </w:rPr>
        <w:t>®</w:t>
      </w:r>
      <w:r>
        <w:rPr>
          <w:rFonts w:ascii="Times New Roman;sans-serif" w:hAnsi="Times New Roman;sans-serif"/>
          <w:b w:val="false"/>
          <w:color w:val="000000"/>
          <w:sz w:val="20"/>
        </w:rPr>
        <w:t>, Embassy Suites by Hilton</w:t>
      </w:r>
      <w:r>
        <w:rPr>
          <w:rFonts w:ascii="Times New Roman;sans-serif" w:hAnsi="Times New Roman;sans-serif"/>
          <w:b w:val="false"/>
          <w:color w:val="000000"/>
          <w:sz w:val="13"/>
        </w:rPr>
        <w:t>®</w:t>
      </w:r>
      <w:r>
        <w:rPr>
          <w:rFonts w:ascii="Times New Roman;sans-serif" w:hAnsi="Times New Roman;sans-serif"/>
          <w:b w:val="false"/>
          <w:color w:val="000000"/>
          <w:sz w:val="20"/>
        </w:rPr>
        <w:t>, Hilton</w:t>
      </w:r>
      <w:r>
        <w:rPr>
          <w:rFonts w:ascii="Times New Roman;sans-serif" w:hAnsi="Times New Roman;sans-serif"/>
          <w:b w:val="false"/>
          <w:color w:val="000000"/>
          <w:sz w:val="13"/>
        </w:rPr>
        <w:t>®</w:t>
      </w:r>
      <w:r>
        <w:rPr>
          <w:rFonts w:ascii="Times New Roman;sans-serif" w:hAnsi="Times New Roman;sans-serif"/>
          <w:b w:val="false"/>
          <w:color w:val="000000"/>
          <w:sz w:val="20"/>
        </w:rPr>
        <w:t>, Hyatt Regency</w:t>
      </w:r>
      <w:r>
        <w:rPr>
          <w:rFonts w:ascii="Times New Roman;sans-serif" w:hAnsi="Times New Roman;sans-serif"/>
          <w:b w:val="false"/>
          <w:color w:val="000000"/>
          <w:sz w:val="13"/>
        </w:rPr>
        <w:t>®</w:t>
      </w:r>
      <w:r>
        <w:rPr>
          <w:rFonts w:ascii="Times New Roman;sans-serif" w:hAnsi="Times New Roman;sans-serif"/>
          <w:b w:val="false"/>
          <w:color w:val="000000"/>
          <w:sz w:val="20"/>
        </w:rPr>
        <w:t>, Marriott</w:t>
      </w:r>
      <w:r>
        <w:rPr>
          <w:rFonts w:ascii="Times New Roman;sans-serif" w:hAnsi="Times New Roman;sans-serif"/>
          <w:b w:val="false"/>
          <w:color w:val="000000"/>
          <w:sz w:val="13"/>
        </w:rPr>
        <w:t>®</w:t>
      </w:r>
      <w:r>
        <w:rPr>
          <w:rFonts w:ascii="Times New Roman;sans-serif" w:hAnsi="Times New Roman;sans-serif"/>
          <w:b w:val="false"/>
          <w:color w:val="000000"/>
          <w:sz w:val="20"/>
        </w:rPr>
        <w:t>, Marriott Marquis</w:t>
      </w:r>
      <w:r>
        <w:rPr>
          <w:rFonts w:ascii="Times New Roman;sans-serif" w:hAnsi="Times New Roman;sans-serif"/>
          <w:b w:val="false"/>
          <w:color w:val="000000"/>
          <w:sz w:val="13"/>
        </w:rPr>
        <w:t>®</w:t>
      </w:r>
      <w:r>
        <w:rPr>
          <w:rFonts w:ascii="Times New Roman;sans-serif" w:hAnsi="Times New Roman;sans-serif"/>
          <w:b w:val="false"/>
          <w:color w:val="000000"/>
          <w:sz w:val="20"/>
        </w:rPr>
        <w:t>, Sheraton</w:t>
      </w:r>
      <w:r>
        <w:rPr>
          <w:rFonts w:ascii="Times New Roman;sans-serif" w:hAnsi="Times New Roman;sans-serif"/>
          <w:b w:val="false"/>
          <w:color w:val="000000"/>
          <w:sz w:val="13"/>
        </w:rPr>
        <w:t>®</w:t>
      </w:r>
      <w:r>
        <w:rPr>
          <w:rFonts w:ascii="Times New Roman;sans-serif" w:hAnsi="Times New Roman;sans-serif"/>
          <w:b w:val="false"/>
          <w:color w:val="000000"/>
          <w:sz w:val="20"/>
        </w:rPr>
        <w:t>, Swissôtel</w:t>
      </w:r>
      <w:r>
        <w:rPr>
          <w:rFonts w:ascii="Times New Roman;sans-serif" w:hAnsi="Times New Roman;sans-serif"/>
          <w:b w:val="false"/>
          <w:color w:val="000000"/>
          <w:sz w:val="13"/>
        </w:rPr>
        <w:t>®</w:t>
      </w:r>
      <w:r>
        <w:rPr>
          <w:rFonts w:ascii="Times New Roman;sans-serif" w:hAnsi="Times New Roman;sans-serif"/>
          <w:b w:val="false"/>
          <w:color w:val="000000"/>
          <w:sz w:val="20"/>
        </w:rPr>
        <w:t>, Tribute Portfolio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Westin</w:t>
      </w:r>
      <w:r>
        <w:rPr>
          <w:rFonts w:ascii="Times New Roman;sans-serif" w:hAnsi="Times New Roman;sans-serif"/>
          <w:b w:val="false"/>
          <w:color w:val="000000"/>
          <w:sz w:val="13"/>
        </w:rPr>
        <w:t>®</w:t>
      </w:r>
      <w:r>
        <w:rPr>
          <w:rFonts w:ascii="Times New Roman;sans-serif" w:hAnsi="Times New Roman;sans-serif"/>
          <w:b w:val="false"/>
          <w:color w:val="000000"/>
          <w:sz w:val="20"/>
        </w:rPr>
        <w:t>. None of the owners of these trademarks, service marks or brand names, their affiliates or any of their respective officers, directors, agents or employees, is an issuer or underwriter of the debt securities being offered hereby. In addition, none of such persons has or will have any responsibility or liability for any information contained in this prospectus or the documents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 xml:space="preserve">WHERE YOU CAN FIND MORE INFORMATION; INCORPORATION BY REFERENCE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Available Information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file reports and other information with the SEC. The SEC maintains a website that contains reports and information statements and other information about issuers, such as us, who file electronically with the SEC. The address of that website is http://www.sec.gov.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website address is http://www.hosthotels.com. The information on our website, however, is not, and should not be deemed to be, a part of this prospectus.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Incorporation by Reference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prospectus and any accompanying prospectus supplement incorporate by reference the documents set forth below that have previously been filed with the SEC: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Combined Annual Report of Host Inc. and Host L.P. on Form 10-K for the fiscal year ended December 31, 2024, filed with the SEC on </w:t>
      </w:r>
      <w:hyperlink r:id="rId3">
        <w:r>
          <w:rPr>
            <w:rStyle w:val="InternetLink"/>
          </w:rPr>
          <w:t>February 2</w:t>
        </w:r>
      </w:hyperlink>
      <w:hyperlink r:id="rId4">
        <w:r>
          <w:rPr>
            <w:rStyle w:val="InternetLink"/>
          </w:rPr>
          <w:t>6</w:t>
        </w:r>
      </w:hyperlink>
      <w:hyperlink r:id="rId5">
        <w:r>
          <w:rPr>
            <w:rStyle w:val="InternetLink"/>
          </w:rPr>
          <w:t>, 202</w:t>
        </w:r>
      </w:hyperlink>
      <w:hyperlink r:id="rId6">
        <w:r>
          <w:rPr>
            <w:rStyle w:val="InternetLink"/>
          </w:rPr>
          <w:t>5</w:t>
        </w:r>
      </w:hyperlink>
      <w:r>
        <w:rPr>
          <w:rFonts w:ascii="Times New Roman;sans-serif" w:hAnsi="Times New Roman;sans-serif"/>
          <w:b w:val="false"/>
          <w:color w:val="000000"/>
          <w:sz w:val="20"/>
        </w:rPr>
        <w: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information specifically incorporated by reference into the Combined Annual Report of Host Inc. and Host L.P. on Form 10-K from the Definitive Proxy Statement of Host Inc. on Schedule 14A, filed with the SEC on </w:t>
      </w:r>
      <w:hyperlink r:id="rId7">
        <w:r>
          <w:rPr>
            <w:rStyle w:val="InternetLink"/>
          </w:rPr>
          <w:t>April </w:t>
        </w:r>
      </w:hyperlink>
      <w:hyperlink r:id="rId8">
        <w:r>
          <w:rPr>
            <w:rStyle w:val="InternetLink"/>
          </w:rPr>
          <w:t>3</w:t>
        </w:r>
      </w:hyperlink>
      <w:hyperlink r:id="rId9">
        <w:r>
          <w:rPr>
            <w:rStyle w:val="InternetLink"/>
          </w:rPr>
          <w:t>, 202</w:t>
        </w:r>
      </w:hyperlink>
      <w:hyperlink r:id="rId10">
        <w:r>
          <w:rPr>
            <w:rStyle w:val="InternetLink"/>
          </w:rPr>
          <w:t>5</w:t>
        </w:r>
      </w:hyperlink>
      <w:r>
        <w:rPr>
          <w:rFonts w:ascii="Times New Roman;sans-serif" w:hAnsi="Times New Roman;sans-serif"/>
          <w:b w:val="false"/>
          <w:color w:val="000000"/>
          <w:sz w:val="20"/>
        </w:rPr>
        <w:t xml:space="preserv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Combined Quarterly Report of Host Inc. and Host L.P. on Form 10-Q for the fiscal quarter ended March 31, 2025, filed with the SEC on </w:t>
      </w:r>
      <w:hyperlink r:id="rId11">
        <w:r>
          <w:rPr>
            <w:rStyle w:val="InternetLink"/>
            <w:rFonts w:ascii="Times New Roman;sans-serif" w:hAnsi="Times New Roman;sans-serif"/>
            <w:b w:val="false"/>
            <w:color w:val="0000FF"/>
            <w:sz w:val="20"/>
            <w:u w:val="single"/>
          </w:rPr>
          <w:t>May 2, 2025</w:t>
        </w:r>
      </w:hyperlink>
      <w:r>
        <w:rPr>
          <w:rFonts w:ascii="Times New Roman;sans-serif" w:hAnsi="Times New Roman;sans-serif"/>
          <w:b w:val="false"/>
          <w:color w:val="000000"/>
          <w:sz w:val="20"/>
        </w:rPr>
        <w:t>;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Combined Current Reports of Host Inc. and Host L.P. on Form 8-K, filed with the SEC on </w:t>
      </w:r>
      <w:hyperlink r:id="rId12">
        <w:r>
          <w:rPr>
            <w:rStyle w:val="InternetLink"/>
          </w:rPr>
          <w:t xml:space="preserve">May </w:t>
        </w:r>
      </w:hyperlink>
      <w:hyperlink r:id="rId13">
        <w:r>
          <w:rPr>
            <w:rStyle w:val="InternetLink"/>
          </w:rPr>
          <w:t>8, 2025</w:t>
        </w:r>
      </w:hyperlink>
      <w:r>
        <w:rPr>
          <w:color w:val="000000"/>
        </w:rPr>
        <w:t xml:space="preserve"> </w:t>
      </w:r>
      <w:r>
        <w:rPr>
          <w:rFonts w:ascii="Times New Roman;sans-serif" w:hAnsi="Times New Roman;sans-serif"/>
          <w:b w:val="false"/>
          <w:color w:val="000000"/>
          <w:sz w:val="20"/>
        </w:rPr>
        <w:t xml:space="preserve">and </w:t>
      </w:r>
      <w:hyperlink r:id="rId14">
        <w:r>
          <w:rPr>
            <w:rStyle w:val="InternetLink"/>
          </w:rPr>
          <w:t xml:space="preserve">May </w:t>
        </w:r>
      </w:hyperlink>
      <w:hyperlink r:id="rId15">
        <w:r>
          <w:rPr>
            <w:rStyle w:val="InternetLink"/>
          </w:rPr>
          <w:t>20, 2025</w:t>
        </w:r>
      </w:hyperlink>
      <w:r>
        <w:rPr>
          <w:rFonts w:ascii="Times New Roman;sans-serif" w:hAnsi="Times New Roman;sans-serif"/>
          <w:b w:val="false"/>
          <w:color w:val="000000"/>
          <w:sz w:val="20"/>
        </w:rPr>
        <w: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reports and other documents we subsequently file pursuant to Section 13(a), 13(c), 14 or 15(d) of the Securities Exchange Act of 1934, as amended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lineRule="auto" w:line="288" w:before="0" w:after="18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may request a free copy of any of the documents incorporated by reference in this prospectus by writing or telephoning us at the following address: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HOST HOTELS &amp; RESORTS,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4747 BETHESDA AVE, SUITE 1300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BETHESDA, MARYLAND, 20814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ATTN: SECRETARY</w:t>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TELEPHONE: (240) 744-1000</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Exhibits to the filings will not be sent, however, unless those exhibits have specifically been incorporated by reference in this prospectus or any accompanying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THE COMPANY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Host Hotels &amp; Resorts, L.P. (“Host L.P.”) is a Delaware limited partnership operating through an umbrella partnership structure with Host Hotels &amp; Resorts, Inc., a Maryland corporation (“Host Inc.”), as its sole general partner. Host Inc. operates as a self-managed and self-administered real estate investment trust (“REIT”). In addition to being the sole general partner, Host Inc. holds approximately 99% of the partnership interests in Host L.P. as of June 1, 2025.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Host Inc. is the largest publicly traded lodging REIT, with a geographically diverse portfolio of luxury and upper upscale hotels, and conducts its operations through Host L.P. Host Inc. has the exclusive and complete responsibility for Host L.P.’s day-to-day management and control. As of June 1, 2025, our consolidated lodging portfolio consists of 81 primarily luxury and upper-upscale hotels containing approximately 43,400 rooms, with substantially all located in the United States (five of the hotels are located outside of the U.S. in Brazil and Canada). In addition, we own non-controlling interests in seven domestic and one international joint ventures that focus on the lodging industry.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address of our principal executive office is 4747 Bethesda Ave, Suite 1300, Bethesda, Maryland 20814. Our phone number is (240) 744-1000. Our Internet website address is www.hosthotels.com. The information found on, or otherwise accessible through, our website is not incorporated into, and does not form a part of, this prospectus or the accompanying prospectus supplement.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any securities offered pursuant to this prospectus and the applicable prospectus supplement involves risks. Before deciding whether to invest in our securities, you should carefully consider the risk factors incorporated by reference in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For more information, see the section entitled “Where You Can Find More Information” in this prospectus.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“Forward Looking Statements” included in our most recent Annual Report on Form 10-K and any subsequent Quarterly Reports on Form 10-Q or Current Reports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use the net proceeds from the sale of the securities as set forth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 xml:space="preserve">DESCRIPTION OF DEBT SECURITIES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such series in a supplement to this prospectus. We will also indicate in the supplement to what extent the general terms and provisions described in this prospectus apply to a particular series of debt securities.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debt securities offered under this prospectus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debt securities will be issued pursuant to an indenture dated as of May 15, 2015 between us and The Bank of New York Mellon, as trustee, as amended or supplemented from time to time. We have summarized select portions of the indenture below. The summary is not complete. The indenture has been previously filed and is incorporated by reference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used in this section only, “Host L.P.,” “we,” “our” or “us” refer to Host Hotels &amp; Resorts, L.P. and its successors, but excluding our subsidiaries, unless expressly stated or the context otherwise requires.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General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free writing prospectus, pricing supplement or term sheet).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title and ranking of the debt securities (including the terms of any subordination provisions);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price or prices (expressed as a percentage of the principal amount) at which we will sell the debt securities;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any limit on the aggregate principal amount of the debt securities;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date or dates on which the principal of the debt securities of the series is payable;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rate or rates (which may be fixed or variable) per annum or the method used to determine the rate or rates (including any commodity, commodity index, stock exchange index or financial index) at which the debt securities will bear interest, if any, the date or dates from which interest will accrue, if any, the date or dates on which interest will commence and be payable and any regular record date for the interest payable on any interest payment date;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period or periods within which, the price or prices at which and the terms and conditions upon which we may redeem the debt securities; </w:t>
      </w:r>
    </w:p>
    <w:p>
      <w:pPr>
        <w:pStyle w:val="TextBody"/>
        <w:bidi w:val="0"/>
        <w:spacing w:lineRule="auto" w:line="288" w:before="0" w:after="18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any obligation we have to redeem or purchase the debt securities pursuant to any sinking fund or analogous provisions or at the option of a holder of debt securities and the period or periods within which, the price or prices at which and in the terms and conditions upon which debt securities of the series shall be redeemed or purchased, in whole or in part, pursuant to such obligation;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dates, if any, on which and the price or prices at which we will repurchase debt securities at the option of the holders of debt securities and other detailed terms and provisions of these repurchase obligations;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denominations in which the debt securities will be issued, if other than denominations of $2,000 and any integral multiple on $1,000 in excess thereof;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whether the debt securities will be issued in the form of certificated debt securities or global debt securities;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portion of principal amount of the debt securities payable upon declaration of acceleration of the maturity date, if other than the principal amount;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currency of denomination of the debt securities, which may be United States Dollars or any foreign currency, and if such currency of denomination is a composite currency, the agency or organization, if any, responsible for overseeing such composite currency;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designation of the currency, currencies or currency units in which payment of principal of, premium and interest on the debt securities will be made;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any provisions relating to any security provided for the debt securities;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any addition to, deletion of or change in the covenants described in this prospectus or in the indenture with respect to the debt securities;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any depositaries, interest rate calculation agents, exchange rate calculation agents or other agents with respect to the debt securities;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if the debt securities of such series are redeemed;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other terms of the debt securities, which may supplement, modify or delete any provision of the indenture as it applies to that series, including any terms that may be required under applicable law or regulations or advisable in connection with the marketing of the debt securities, including with respect to covenants and events of default;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whether any of our direct or indirect subsidiaries will guarantee the debt securities of that series, including the terms of subordination, if any, of such guarantees. (Section 2.2) </w:t>
      </w:r>
    </w:p>
    <w:p>
      <w:pPr>
        <w:pStyle w:val="TextBody"/>
        <w:bidi w:val="0"/>
        <w:spacing w:lineRule="auto" w:line="288" w:before="0" w:after="18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Transfer and Exchange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Global Debt Securities and Book-Entry System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global debt security representing book-entry debt securities will be deposited with, or on behalf of, the Depositary, and registered in the name of the Depositary or a nominee of the Depositary. Please see “Global Securities.”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Covenants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will set forth in the applicable prospectus supplement any restrictive covenants applicable to any issue of debt securities. (Article IV)</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No Protection in the Event of a Change of Control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Unless we state otherwise in the applicable prospectus supplement, except as described below with respect to the consolidation, merger and sale of our assets,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lineRule="auto" w:line="288" w:before="0" w:after="18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Consolidation, Merger and Sale of Assets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consolidate with or merge with or into another person, or sell, convey, transfer, lease or otherwise dispose of all or substantially all of our properties and assets, in one or more related transactions, to any person (in each case, a “successor person”) unless: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we are the surviving limited partnership or the successor person (if other than Host L.P.) is an entity organized and validly existing under the laws of any U.S. domestic jurisdiction and expressly assumes our obligations on the debt securities and under the indenture by a supplemental indenture executed and delivered to the trustee;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immediately after giving effect to the transaction, no Default or Event of Default, shall have occurred and be continuing.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above, any of our subsidiaries may consolidate with, merge into or transfer all or part of its properties to us. (Section 5.1)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Reports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 provides that whether or not we are subject to the reporting requirements of Section 13 or 15(d) of the Exchange Act, we shall deliver to the Trustee and to each holder, within 15 days after we are or would have been required to file such with the Commission, annual and quarterly financial statements substantially equivalent to financial statements that would have been included in reports filed with the Commission if we were subject to the requirements of Section 13 or 15(d) of the Exchange Act, including, with respect to annual information only, a report thereon by our certified independent public accountants, as such would be required in such reports to the Commission, and, in each case, together with a management’s discussion and analysis of financial condition and results of operations which would be so required. Whether or not required by the rules and regulations of the Commission, we will file a copy of all such information and reports with the Commission for public availability and will make such information available to securities analysts and prospective investors upon request. (Section 4.2)</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Events of Default </w:t>
      </w:r>
    </w:p>
    <w:p>
      <w:pPr>
        <w:pStyle w:val="TextBody"/>
        <w:bidi w:val="0"/>
        <w:spacing w:lineRule="auto" w:line="288" w:before="0" w:after="180"/>
        <w:jc w:val="left"/>
        <w:rPr>
          <w:color w:val="000000"/>
        </w:rPr>
      </w:pPr>
      <w:r>
        <w:rPr>
          <w:color w:val="000000"/>
        </w:rPr>
        <w:t>“</w:t>
      </w:r>
      <w:r>
        <w:rPr>
          <w:rFonts w:ascii="Times New Roman;sans-serif" w:hAnsi="Times New Roman;sans-serif"/>
          <w:b w:val="false"/>
          <w:color w:val="000000"/>
          <w:sz w:val="20"/>
        </w:rPr>
        <w:t xml:space="preserve">Event of Default” means with respect to any series of debt securities, any of the following: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default in the payment of principal of any debt security of that series at its maturity;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Host L.P. and the trustee receive written notice from the holders of not less than 25% in principal amount of the outstanding debt securities of that series as provided in the indenture;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certain voluntary or involuntary events of bankruptcy, insolvency or reorganization of Host L.P.;</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any other Event of Default provided with respect to debt securities of that series that is described in the applicable prospectus supplement. (Section 6.1)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 </w:t>
      </w:r>
    </w:p>
    <w:p>
      <w:pPr>
        <w:pStyle w:val="TextBody"/>
        <w:bidi w:val="0"/>
        <w:spacing w:lineRule="auto" w:line="288" w:before="0" w:after="18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and its consequences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that holder has previously given to the trustee written notice of a continuing Event of Default with respect to debt securities of that series;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any other provision in the indenture, the holder of any debt security will have an absolute and unconditional right to receive payment of the principal of, premium, if any, and any interest on that debt security on or after the due dates expressed in that debt security and to institute suit for the enforcement of payment. (Section 6.8)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deliver to each holder of the debt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w:t>
      </w:r>
    </w:p>
    <w:p>
      <w:pPr>
        <w:pStyle w:val="TextBody"/>
        <w:bidi w:val="0"/>
        <w:spacing w:lineRule="auto" w:line="288" w:before="0" w:after="18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trustee determines in good faith that withholding notice is in the interest of the holders of those debt securities. (Section 7.5)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Modification and Waiver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the trustee may modify, amend or supplement the indenture or the debt securities of any series without the consent of any holder of any debt security: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to cure any ambiguity, defect or inconsistency;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to comply with covenants in the indenture described above under the heading “Consolidation, Merger and Sale of Assets”;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to provide for uncertificated securities in addition to or in place of certificated securities;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to add guarantees with respect to debt securities of any series or secure debt securities of any series;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to surrender any of our rights or powers under the indenture;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to add covenants or events of default for the benefit of the holders of debt securities of any series;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to comply with the applicable procedures of the applicable depositary;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to make any change that does not adversely affect the rights of any holder of debt securities;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to provide for the issuance of and establish the form and terms and conditions of debt securities of any series as permitted by the indenture;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to effect the appointment of a successor trustee with respect to the debt securities of any series and to add to or change any of the provisions of the indenture to provide for or facilitate administration by more than one trustee;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to comply with requirements of the SEC in order to effect or maintain the qualification of the indenture under the Trust Indenture Act; or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to conform the text to the description of debt securities or description of notes sections of any prospectus or prospectus supplement with respect to the debt securities of any series. (Section 9.1)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also modify and amend the indenture with the consent of the holders of at least a majority in principal amount of the outstanding debt securities of each series affected by the modifications or amendments. We may not make any amendment or waiver without the consent of the holders of each affected debt security then outstanding if that amendment will: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reduce the amount of debt securities whose holders must consent to an amendment, supplement or waiver;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reduce the rate of or extend the time for payment of interest (including default interest) on any debt security;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reduce the principal amount of discount securities payable upon acceleration of maturity;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waive a default or event of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p>
      <w:pPr>
        <w:pStyle w:val="TextBody"/>
        <w:bidi w:val="0"/>
        <w:spacing w:lineRule="auto" w:line="288" w:before="0" w:after="18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make the principal of or premium or interest on any debt security payable in currency other than that stated in the debt security;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make any change to certain provisions of the indenture relating to, among other things, the right of holders of debt securities to receive payment of the principal of, premium and interest on those debt securities, to institute suit for the enforcement of any such payment and to waivers or amendments; or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waive a redemption payment with respect to any debt security. (Section 9.3) </w:t>
      </w:r>
    </w:p>
    <w:p>
      <w:pPr>
        <w:pStyle w:val="TextBody"/>
        <w:bidi w:val="0"/>
        <w:spacing w:lineRule="auto" w:line="288" w:before="0" w:after="180"/>
        <w:jc w:val="left"/>
        <w:rPr/>
      </w:pPr>
      <w:r>
        <w:rPr>
          <w:rFonts w:ascii="Times New Roman;sans-serif" w:hAnsi="Times New Roman;sans-serif"/>
          <w:b w:val="false"/>
          <w:color w:val="000000"/>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not yet cured;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the holders of a majority in principal amount of the outstanding debt securities of any series may rescind an acceleration and its consequences, including any related payment default that resulted from the acceleration. (Section 6.13)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Defeasance of Debt Securities and Certain Covenants in Certain Circumstances </w:t>
      </w:r>
    </w:p>
    <w:p>
      <w:pPr>
        <w:pStyle w:val="TextBody"/>
        <w:bidi w:val="0"/>
        <w:spacing w:lineRule="auto" w:line="288" w:before="0" w:after="180"/>
        <w:jc w:val="left"/>
        <w:rPr/>
      </w:pPr>
      <w:r>
        <w:rPr>
          <w:rFonts w:ascii="Times New Roman;sans-serif" w:hAnsi="Times New Roman;sans-serif"/>
          <w:b w:val="false"/>
          <w:i/>
          <w:color w:val="000000"/>
          <w:sz w:val="20"/>
        </w:rPr>
        <w:t>Legal Defeasance</w:t>
      </w:r>
      <w:r>
        <w:rPr>
          <w:rFonts w:ascii="Times New Roman;sans-serif" w:hAnsi="Times New Roman;sans-serif"/>
          <w:b w:val="false"/>
          <w:color w:val="000000"/>
          <w:sz w:val="20"/>
        </w:rPr>
        <w:t xml:space="preserve">. The indenture provides that, unless otherwise provided by the terms of the applicable series of debt securities, we may be discharged 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 </w:t>
      </w:r>
    </w:p>
    <w:p>
      <w:pPr>
        <w:pStyle w:val="TextBody"/>
        <w:bidi w:val="0"/>
        <w:spacing w:lineRule="auto" w:line="288" w:before="0" w:after="180"/>
        <w:jc w:val="left"/>
        <w:rPr/>
      </w:pPr>
      <w:r>
        <w:rPr>
          <w:rFonts w:ascii="Times New Roman;sans-serif" w:hAnsi="Times New Roman;sans-serif"/>
          <w:b w:val="false"/>
          <w:i/>
          <w:color w:val="000000"/>
          <w:sz w:val="20"/>
        </w:rPr>
        <w:t>Defeasance of Certain Covenants</w:t>
      </w:r>
      <w:r>
        <w:rPr>
          <w:rFonts w:ascii="Times New Roman;sans-serif" w:hAnsi="Times New Roman;sans-serif"/>
          <w:b w:val="false"/>
          <w:color w:val="000000"/>
          <w:sz w:val="20"/>
        </w:rPr>
        <w:t xml:space="preserve">. The indenture provides that, unless otherwise provided by the terms of the applicable series of debt securities, upon compliance with certain conditions: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we may omit to comply with the covenant described under the heading “Consolidation, Merger and Sale of Assets” and certain other covenants set forth in the indenture, as well as any additional covenants which may be set forth in the applicable prospectus supplement;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any omission to comply with those covenants will not constitute a Default or an Event of Default with respect to the debt securities of that series (“covenant defeasance”).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conditions include: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w:t>
      </w:r>
    </w:p>
    <w:p>
      <w:pPr>
        <w:pStyle w:val="TextBody"/>
        <w:bidi w:val="0"/>
        <w:spacing w:lineRule="auto" w:line="288" w:before="0" w:after="18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 Personal Liability of Partners, Directors, Officers, Employees or Stockholders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 recourse for the payment of the principal of, premium, if any, or interest on the debt securities or for any claim based thereon or otherwise in respect thereof, and no recourse under or upon any obligation, covenant or agreement of Host L.P. or any subsidiary that becomes a guarantor of the debt securities, if applicable, in the indenture, or in the debt securities or because of the creation of any debt represented thereby, shall be had against any incorporator, partner, stockholder, officer, director, employee or controlling person of Host L.P. or any subsidiary that becomes a guarantor of the debt securities, if applicable, or of any successor person thereof, except as an obligor or guarantor of the debt securities pursuant to the indenture. Each holder, by accepting the debt securities, waives and releases all such liability. This waiver and release is part of the consideration for the issue of the debt securities. However, this waiver and release may not be effective to waive liabilities under U.S. federal securities laws, and it is the view of the SEC that such waiver is against public policy.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U.S. GAAP for Covenant Calculations </w:t>
      </w:r>
    </w:p>
    <w:p>
      <w:pPr>
        <w:pStyle w:val="TextBody"/>
        <w:bidi w:val="0"/>
        <w:spacing w:lineRule="auto" w:line="288" w:before="0" w:after="180"/>
        <w:jc w:val="left"/>
        <w:rPr/>
      </w:pPr>
      <w:r>
        <w:rPr>
          <w:rFonts w:ascii="Times New Roman;sans-serif" w:hAnsi="Times New Roman;sans-serif"/>
          <w:b w:val="false"/>
          <w:color w:val="000000"/>
          <w:sz w:val="20"/>
        </w:rPr>
        <w:t xml:space="preserve">Unless amended by prospectus supplement, “GAAP” shall mean generally accepted accounting principles in the United States as in effect from time to time. Notwithstanding the foregoing, for purposes of determining compliance with any financial covenant or covenant contained herein or in any board resolution, a supplemental indenture or an officer’s certificate for any series of debt securities requiring calculations that are determined with reference to GAAP, such compliance shall be determined in accordance with GAAP as in effect on the date of the indenture;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(1) all computations made under the indenture (whether or not such computations specifically reference GAAP) relating to the notional amount of indebtedness or interest expense associated with such indebtedness shall be made without giving effect to any generally accepted accounting principles requiring that such indebtedness be marked to market, and the effects of the Accounting Standards Codification of the Financial Accounting Standards Board (“FASB ASC”) 825 and FASB ASC 470-20 on financial liabilities will be disregarded, (2) any generally accepted accounting principles requiring (x) any fair value adjustment that would cause any indebtedness or contracts to be marked to market, including capitalized liabilities based on the fair value of contracts, (y) the recording of convertible debt at fair value and (z) acquisition costs that were capitalized prior to the adoption of FASB ASC 805 to be expensed as incurred shall, in each case, be disregarded and (3) the determination of a Subsidiary with respect to any person shall be based in accordance with GAAP as in effect from time to time. As a result, the value of amounts used in the calculation of our covenants such as interest expense, the recorded value of debt acquired or assumed, and total assets will be different from amounts presented in our financial statements.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Governing Law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and the debt securities, including any claim or controversy arising out of or relating to the indenture or the securities, will be governed by the laws of the State of New York. (Section 10.10) </w:t>
      </w:r>
    </w:p>
    <w:p>
      <w:pPr>
        <w:pStyle w:val="TextBody"/>
        <w:bidi w:val="0"/>
        <w:spacing w:lineRule="auto" w:line="288" w:before="0" w:after="18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Waiver of Jury Trial</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 provides that we, the trustee, the paying agent and the registrar irrevocably waive, to the fullest extent permitted by applicable law, any and all right to trial by jury in any legal proceeding arising out of or relating to the indenture, the debt securities or the transactions contemplated thereby. (Section 10.18)</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Jurisdiction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 provides that we, the trustee, the paying agent and the registrar irrevocably submit to the exclusive general jurisdiction of any New York state court sitting in the Borough of Manhattan in the City of New York or any federal court sitting in the Borough of Manhattan in the City of New York in respect of any suit, action or proceeding arising out of or relating to the indenture and the debt securities, and irrevocably accept the jurisdiction of the aforesaid courts. The indenture will further provide that we, the trustee, the paying agent and the registrar irrevocably waive, to the fullest extent permitted by applicable law, any objection to the laying of the venue of any suit, action or proceeding brought in the courts specified above and irrevocably waive and agree not to plead or claim any such suit, action or proceeding has been brought in an inconvenient forum. (Section 10.19)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GLOBAL SECURITIES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Book-Entry, Delivery and Form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Unless we indicate differently in any applicable prospectus supplement or free writing prospectus, the securities initially will be issued in book-entry form and represented by one or more global notes or global securities (collectively, the “global securities”). The global securities will be deposited with, or on behalf of, The Depository Trust Company, New York, New York, as depositary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DTC has advised us that it is: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 limited-purpose trust company organized under the New York Banking Law;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 “banking organization” within the meaning of the New York Banking Law;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 member of the Federal Reserve System;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 “clearing corporation” within the meaning of the New York Uniform Commercial Code;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 “clearing agency” registered pursuant to the provisions of Section 17A of the Exchange Act.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 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w:t>
      </w:r>
    </w:p>
    <w:p>
      <w:pPr>
        <w:pStyle w:val="TextBody"/>
        <w:bidi w:val="0"/>
        <w:spacing w:lineRule="auto" w:line="288" w:before="0" w:after="18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respect of the securities and the indenture may be delivered to us and where certificated securities may be surrendered for payment, registration of transfer or exchange.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noted above, beneficial owners of a particular series of securities generally will not receive certificates representing their ownership interests in those securities. However, if: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t>
      </w:r>
    </w:p>
    <w:p>
      <w:pPr>
        <w:pStyle w:val="TextBody"/>
        <w:bidi w:val="0"/>
        <w:spacing w:lineRule="auto" w:line="288" w:before="0" w:after="18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within 90 days of the notification to us or of our becoming aware of DTC’s ceasing to be so registered, as the case may be;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we determine, in our sole discretion, not to have such securities represented by one or more global securities; or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an Event of Default has occurred and is continuing with respect to such series of securities, </w:t>
      </w:r>
    </w:p>
    <w:p>
      <w:pPr>
        <w:pStyle w:val="TextBody"/>
        <w:bidi w:val="0"/>
        <w:spacing w:lineRule="auto" w:line="288" w:before="0" w:after="180"/>
        <w:jc w:val="left"/>
        <w:rPr/>
      </w:pPr>
      <w:r>
        <w:rPr>
          <w:rFonts w:ascii="Times New Roman;sans-serif" w:hAnsi="Times New Roman;sans-serif"/>
          <w:b w:val="false"/>
          <w:color w:val="000000"/>
          <w:sz w:val="20"/>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r>
        <w:rPr>
          <w:color w:val="000000"/>
        </w:rPr>
        <w:t xml:space="preserve">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Euroclear and Clearstream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w:t>
      </w:r>
    </w:p>
    <w:p>
      <w:pPr>
        <w:pStyle w:val="TextBody"/>
        <w:bidi w:val="0"/>
        <w:spacing w:lineRule="auto" w:line="288" w:before="0" w:after="18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available in the relevant Euroclear or Clearstream cash account only as of the business day for Euroclear or Clearstream following DTC’s settlement date.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PLAN OF DISTRIBUTION</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at a fixed price or prices, which may be changed;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at market prices prevailing at the time of sale;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at prices related to such prevailing market prices; or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at negotiated prices.</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Any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w:t>
      </w:r>
    </w:p>
    <w:p>
      <w:pPr>
        <w:pStyle w:val="TextBody"/>
        <w:bidi w:val="0"/>
        <w:spacing w:lineRule="auto" w:line="288" w:before="0" w:after="18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maintain the market price of the securities at a level above that which might otherwise prevail in the open market. These transactions may be discontinued at any time.</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specific terms of any lock-up provisions in respect of any given offering will be described in the applicable prospectus supplement.</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underwriters, dealers and agents may engage in transactions with us, or perform services for us, in the ordinary course of business for which they receive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Latham &amp; Watkins LLP will pass upon certain legal matters relating to the issuance and sale of the securities offered hereby on behalf of Host Hotels &amp; Resorts, L.P. Additional legal matters may be passed upon for us or any underwriters, dealers or agents, by counsel that we will name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EXPERTS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 consolidated financial statements of Host Hotels &amp; Resorts, Inc. as of December 31, 2024 and 2023, and for each of the years in the three-year period ended December 31, 2024, and management’s assessment of the effectiveness of internal control over financial reporting as of December 31, 2024, and (ii) consolidated financial statements of Host Hotels &amp; Resorts, L.P. as of December 31, 2024 and 2023, and for each of the years in the three-year period ended December 31, 2024,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 xml:space="preserve">INFORMATION NOT REQUIRED IN PROSPECTUS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14.     </w:t>
      </w:r>
      <w:r>
        <w:rPr>
          <w:rFonts w:ascii="Times New Roman;sans-serif" w:hAnsi="Times New Roman;sans-serif"/>
          <w:b/>
          <w:i/>
          <w:color w:val="000000"/>
          <w:sz w:val="20"/>
        </w:rPr>
        <w:t>Other Expenses of Issuance and Distribution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an estimate of the expenses (all of which are to be paid by the registrant) that we may incur in connection with the securities being registered hereby.</w:t>
      </w:r>
    </w:p>
    <w:tbl>
      <w:tblPr>
        <w:tblW w:w="4400" w:type="dxa"/>
        <w:jc w:val="left"/>
        <w:tblInd w:w="0" w:type="dxa"/>
        <w:tblLayout w:type="fixed"/>
        <w:tblCellMar>
          <w:top w:w="28" w:type="dxa"/>
          <w:left w:w="28" w:type="dxa"/>
          <w:bottom w:w="28" w:type="dxa"/>
          <w:right w:w="28" w:type="dxa"/>
        </w:tblCellMar>
      </w:tblPr>
      <w:tblGrid>
        <w:gridCol w:w="1109"/>
        <w:gridCol w:w="972"/>
        <w:gridCol w:w="978"/>
        <w:gridCol w:w="211"/>
        <w:gridCol w:w="976"/>
        <w:gridCol w:w="154"/>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Fee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275,580 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*Printing and Duplicating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Fees and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905,100 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Fees and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*Blue Sky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 of Ratings Agencies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4,780,000 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*Trustee’s Fees and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6,346,680 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*Estimated.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Item 15.     </w:t>
      </w:r>
      <w:r>
        <w:rPr>
          <w:rFonts w:ascii="Times New Roman;sans-serif" w:hAnsi="Times New Roman;sans-serif"/>
          <w:b/>
          <w:i/>
          <w:color w:val="000000"/>
          <w:sz w:val="20"/>
        </w:rPr>
        <w:t>Indemnification of Directors and Officers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17-108 of the Delaware Revised Uniform Limited Partnership Act (“DRULPA”) empowers a Delaware limited partnership to indemnify and hold harmless any partner or other person from and against all claims and demands whatsoever, subject to such standards and restrictions, if any, as are set forth in its partnership agreement. The Third Amended and Restated Agreement of Limited Partnership of Host, L.P. (the “Partnership Agreement”) provides for indemnification of Host Inc. and its officers and directors to the fullest extent provided by the DRULPA. The indemnity shall extend to any liability of Host Inc. and its officers and directors pursuant to a loan guarantee, contractual obligation for indebtedness or other obligation or otherwise, for any indebtedness of Host L.P. or any subsidiary of Host L.P. Further, the indemnification provided in the Partnership Agreement shall not limit any other right to indemnification of Host Inc. and its officers and directors provided under any agreement, pursuant to a vote of Host L.P., as a matter of law or otherwise. Set forth below are the indemnification arrangements applicable to Host Inc.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Any underwriting agreement or distribution agreement that the registrant enters into with any underwriters or agents involved in the offering or sale of any securities registered hereby may require such underwriters or dealers to indemnify the registrant, some or all of its directors and officers and its controlling persons, if any, for specified liabilities, which may include liabilities under the Securities Act.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Maryland General Corporation Law (the “MGCL”)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and which is material to the cause of action. Host Inc.’s charter contains a provision that eliminates directors’ and officers’ liability to the maximum extent permitted by Maryland law.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Host Inc.’s charter provides that it shall indemnify (i) its directors and officers, whether serving Host Inc. or at its request any other entity, to the maximum extent permitted by Maryland law, including the advance of expenses and (ii) other employees and agents to such extent as shall be authorized by Host Inc.’s board of directors or the Bylaws. Host Inc.’s Bylaws obligate it, to the maximum extent permitted by Maryland law, to indemnify and to pay or reimburse reasonable expenses in advance of final disposition of a proceeding to (a) any present or former director or officer of Host Inc. who is made or threatened to be made a party to, or witness in, the proceeding by reason of his or her service in that capacity or (b) any individual who, while a director or officer of Host Inc. and at </w:t>
      </w:r>
    </w:p>
    <w:p>
      <w:pPr>
        <w:pStyle w:val="TextBody"/>
        <w:bidi w:val="0"/>
        <w:spacing w:lineRule="auto" w:line="288" w:before="0" w:after="18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request of Host Inc., serves or has served another corporation, real estate investment trust, partnership, limited liability company, joint venture, trust, employee benefit plan or other enterprise as a director, trustee, officer, member, manager or partner and who is made or threatened to be made a party to, or witness in, the proceeding by reason of his or her service in that capacity, against any claim or liability to which he or she may become subject by reason of such status. Host Inc.’s Bylaws also permit Host Inc. to indemnify and advance expenses to any person who served as a predecessor of Host Inc. in any of the capacities described above and to any employee or agent of Host Inc. or a predecessor of Host Inc.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MGCL requires a Maryland corporation (unless its charter provides otherwise, which Host Inc.’s charter does not) to indemnify a director or officer who has been successful, on the merits or otherwise, in the defense of any proceeding to which he or she is made a party by reason of his or her service in that capacity. The MGCL permits a corporation to indemnify its present and former directors and officers, among others, against judgments, penalties, fines, settlements and reasonable expenses actually incurred by them in connection with any proceeding to which they may be made a party to, or witness in, by reason of their service in those or other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Under the MGCL, a Maryland corporation may not indemnify a director or officer for an adverse judgment in a suit by or in the right of the corporation or for a judgment of liability on the basis that personal benefit was improperly received, unless in either case a court orders indemnification and then only for expenses. In accordance with the MGCL, Host Inc. is required, as a condition to advancing expenses, to obtain (1) a written affirmation by the director, officer or employee of his or her good faith belief that he or she has met the standard of conduct necessary for indemnification and (2) a written undertaking by him or her or on his or her behalf to repay the amount paid or reimbursed by Host Inc. if it is ultimately determined that the applicable standard of conduct was not met.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Host Inc. has also entered into indemnification agreements with its directors and executive officers that obligate it to indemnify them to the maximum extent permitted under Maryland law. The agreements require Host Inc. to indemnify the director or officer (the “indemnitee”) against all judgments, penalties, fines and amounts paid in settlement and all expenses actually and reasonably incurred by the indemnitee in connection with a proceeding to which such person became subject by reason of his or her status as a present or former director or officer of Host Inc. or any other corporation or enterprise for which such person is or was serving at Host Inc.’s request unless it is established that the indemnitee did not meet the standard of conduct set forth above or one of the exceptions to indemnification under Maryland law set forth above exists.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indemnification agreements require Host Inc. to advance reasonable expenses incurred by the indemnitee within 10 days of the receipt by Host Inc. of a statement from the indemnitee requesting the advance, provided the statement evidences the expenses incurred and is accompanied by: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 written affirmation of the indemnitee’s good faith belief that he or she has met the standard of conduct necessary for indemnification,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 written undertaking by or on behalf of the indemnitee to repay the amount of any expenses advanced to the indemnitee if it is ultimately determined that the standard of conduct was not met.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indemnification agreements also provide for procedures for the determination of entitlement to indemnification, including requiring such determination be made by independent counsel after a change of control of Host Inc.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Insofar as indemnification for liabilities arising under the Securities Act may be permitted to directors, officers or persons controlling the registrant pursuant to the foregoing provisions, Host L.P. has been informed that in the opinion of the SEC such indemnification is against public policy as expressed in the Securities Act and is therefore unenforceable.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II-2</w:t>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color w:val="000000"/>
          <w:sz w:val="20"/>
        </w:rPr>
        <w:t>Item 16.     </w:t>
      </w:r>
      <w:r>
        <w:rPr>
          <w:rFonts w:ascii="Times New Roman;sans-serif" w:hAnsi="Times New Roman;sans-serif"/>
          <w:b/>
          <w:i/>
          <w:color w:val="000000"/>
          <w:sz w:val="20"/>
        </w:rPr>
        <w:t>Exhibits</w:t>
      </w:r>
      <w:r>
        <w:rPr>
          <w:color w:val="000000"/>
        </w:rPr>
        <w:t xml:space="preser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reviewing the agreements included as exhibits to this registration statement on Form S-3, please remember they are included to provide you with information regarding their terms and are not intended to provide any other factual or disclosure information about the company, its subsidiaries or other parties to the agreements. The agreements contain representations and warranties by each of the parties to the applicable agreement. These representations and warranties have been made solely for the benefit of the other parties to the applicable agreement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should not in all instances be treated as categorical statements of fact, but rather as a way of allocating the risk to one of the parties if those statements prove to be inaccurate;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have been qualified by disclosures that were made to other party in connection with the negotiation of the applicable agreement, which disclosures are not necessarily reflected in the agreement;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may apply standards of materiality in a way that is different from what may be viewed as material to you or other investors;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were made only as of the date of the applicable agreement or such other date or date as may be specified in the agreement and are subject to more recent developments.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these representation and warranties may not describe the actual state of affairs as the date they were made or at any other time.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721"/>
        <w:gridCol w:w="2655"/>
        <w:gridCol w:w="379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Underwriting Agreement relating to debt securities (to be filed as an exhibit to a Current Report of the registrant on Form 8-K and incorporated by reference herein).</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Indenture, dated May 15, 2015, by and between Host Hotels &amp; Resorts, L.P. and The Bank of New York Mellon, as trustee (incorporated by reference to Exhibit 4.1 to Host Hotels &amp; Resorts, Inc. and Host Hotels &amp; Resorts, L.P. Current Report on Form 8-K, filed May 18, 2015).</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Note.</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3june.htm">
              <w:r>
                <w:rPr>
                  <w:rStyle w:val="InternetLink"/>
                  <w:rFonts w:ascii="Times New Roman;sans-serif" w:hAnsi="Times New Roman;sans-serif"/>
                  <w:b w:val="false"/>
                  <w:color w:val="0000FF"/>
                  <w:sz w:val="20"/>
                  <w:u w:val="single"/>
                </w:rPr>
                <w:t>Opinion of Latham &amp; Watkins LLP regarding the validity of the debt securities.</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3june.htm">
              <w:r>
                <w:rPr>
                  <w:rStyle w:val="InternetLink"/>
                  <w:rFonts w:ascii="Times New Roman;sans-serif" w:hAnsi="Times New Roman;sans-serif"/>
                  <w:b w:val="false"/>
                  <w:color w:val="0000FF"/>
                  <w:sz w:val="20"/>
                  <w:u w:val="single"/>
                </w:rPr>
                <w:t>Consent of Latham &amp; Watkins LLP (included in Exhibit 5.1)</w:t>
              </w:r>
            </w:hyperlink>
            <w:r>
              <w:rPr>
                <w:rFonts w:ascii="Times New Roman;sans-serif" w:hAnsi="Times New Roman;sans-serif"/>
                <w:b w:val="false"/>
                <w:color w:val="000000"/>
                <w:sz w:val="20"/>
              </w:rPr>
              <w: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2-sx3june.htm">
              <w:r>
                <w:rPr>
                  <w:rStyle w:val="InternetLink"/>
                  <w:rFonts w:ascii="Times New Roman;sans-serif" w:hAnsi="Times New Roman;sans-serif"/>
                  <w:b w:val="false"/>
                  <w:color w:val="0000FF"/>
                  <w:sz w:val="20"/>
                  <w:u w:val="single"/>
                </w:rPr>
                <w:t>Consent of KPMG LLP, independent registered public accounting firm.</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c8d6df1b64850a1d6770319ac653e_55">
              <w:r>
                <w:rPr>
                  <w:rStyle w:val="InternetLink"/>
                  <w:rFonts w:ascii="Times New Roman;sans-serif" w:hAnsi="Times New Roman;sans-serif"/>
                  <w:b w:val="false"/>
                  <w:color w:val="0000FF"/>
                  <w:sz w:val="20"/>
                  <w:u w:val="single"/>
                </w:rPr>
                <w:t>Powers of Attorney (incorporated by reference to the signature page hereto).</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51-sx3june.htm">
              <w:r>
                <w:rPr>
                  <w:rStyle w:val="InternetLink"/>
                  <w:rFonts w:ascii="Times New Roman;sans-serif" w:hAnsi="Times New Roman;sans-serif"/>
                  <w:b w:val="false"/>
                  <w:color w:val="0000FF"/>
                  <w:sz w:val="20"/>
                  <w:u w:val="single"/>
                </w:rPr>
                <w:t>Statement of Eligibility on Form T-1 under the Trust Indenture Act of 1939, as amended, of The Bank of New York Mellon, as trustee under the Indenture filed as Exhibit 4.1 above, as supplemented.</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osthotelsjune12fees.htm">
              <w:r>
                <w:rPr>
                  <w:rStyle w:val="InternetLink"/>
                  <w:rFonts w:ascii="Times New Roman;sans-serif" w:hAnsi="Times New Roman;sans-serif"/>
                  <w:b w:val="false"/>
                  <w:color w:val="0000FF"/>
                  <w:sz w:val="20"/>
                  <w:u w:val="single"/>
                </w:rPr>
                <w:t>Filing Fee Table.</w:t>
              </w:r>
            </w:hyperlink>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 be filed by amendment or incorporated by reference in connection with the offering of the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Item 17.     </w:t>
      </w:r>
      <w:r>
        <w:rPr>
          <w:rFonts w:ascii="Times New Roman;sans-serif" w:hAnsi="Times New Roman;sans-serif"/>
          <w:b/>
          <w:i/>
          <w:color w:val="000000"/>
          <w:sz w:val="20"/>
        </w:rPr>
        <w:t>Undertakings</w:t>
      </w:r>
      <w:r>
        <w:rPr>
          <w:color w:val="000000"/>
        </w:rPr>
        <w:t xml:space="preserve"> </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(a)The undersigned registrant hereby undertakes: </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(1)To file, during any period in which offers or sales are being made, a post-effective amendment to this registration statement: </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(i)To include any prospectus required by Section 10(a)(3) of the Securities Act; </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(ii)To reflect in the prospectus any facts or events arising after the effective date of the registration statement (or the most recent post-effective amendment thereof) which, individually or in the </w:t>
      </w:r>
    </w:p>
    <w:p>
      <w:pPr>
        <w:pStyle w:val="TextBody"/>
        <w:bidi w:val="0"/>
        <w:spacing w:lineRule="auto" w:line="288" w:before="0" w:after="18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II-3</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 and </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(iii)To include any material information with respect to the plan of distribution not previously disclosed in the registration statement or any material change to such information in the registration statement; </w:t>
      </w:r>
    </w:p>
    <w:p>
      <w:pPr>
        <w:pStyle w:val="TextBody"/>
        <w:bidi w:val="0"/>
        <w:spacing w:lineRule="auto" w:line="288" w:before="0" w:after="180"/>
        <w:jc w:val="left"/>
        <w:rPr/>
      </w:pP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 </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(3)To remove from registration by means of a post-effective amendment any of the securities being registered which remain unsold at the termination of the offering. </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(5)That, for the purpose of determining liability under the Securities Act to any purchaser: </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 xml:space="preserve">(B)Each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sans-serif" w:hAnsi="Times New Roman;sans-serif"/>
          <w:b w:val="false"/>
          <w:i/>
          <w:color w:val="000000"/>
          <w:sz w:val="20"/>
        </w:rPr>
        <w:t>Provided, however</w:t>
      </w:r>
      <w:r>
        <w:rPr>
          <w:rFonts w:ascii="Times New Roman;sans-serif" w:hAnsi="Times New Roman;sans-serif"/>
          <w:b w:val="false"/>
          <w:color w:val="000000"/>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(6)That, for the purpose of determining liability of the registrant under the Securities Act to any purchaser in the initial distribution of the securities: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undersigned registrant undertakes that in a primary offering of securities of the undersigned registrant pursuant to this registration statement, regardless of the underwriting method used to sell the </w:t>
      </w:r>
    </w:p>
    <w:p>
      <w:pPr>
        <w:pStyle w:val="TextBody"/>
        <w:bidi w:val="0"/>
        <w:spacing w:lineRule="auto" w:line="288" w:before="0" w:after="18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II-4</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(i)Any preliminary prospectus or prospectus of the undersigned registrant relating to the offering required to be filed pursuant to Rule 424; </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(ii)Any free writing prospectus relating to the offering prepared by or on behalf of the undersigned registrant or used or referred to by the undersigned registrant; </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(iii)The portion of any other free writing prospectus relating to the offering containing material information about the undersigned registrant or its securities provided by or on behalf of the undersigned registrant; and </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(iv)Any other communication that is an offer in the offering made by the undersigned registrant to the purchaser. </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 xml:space="preserve">(b)The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sans-serif" w:hAnsi="Times New Roman;sans-serif"/>
          <w:b w:val="false"/>
          <w:i/>
          <w:color w:val="000000"/>
          <w:sz w:val="20"/>
        </w:rPr>
        <w:t>bona fide</w:t>
      </w:r>
      <w:r>
        <w:rPr>
          <w:color w:val="000000"/>
        </w:rPr>
        <w:t xml:space="preserve"> </w:t>
      </w:r>
      <w:r>
        <w:rPr>
          <w:rFonts w:ascii="Times New Roman;sans-serif" w:hAnsi="Times New Roman;sans-serif"/>
          <w:b w:val="false"/>
          <w:color w:val="000000"/>
          <w:sz w:val="20"/>
        </w:rPr>
        <w:t xml:space="preserve">offering thereof. </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(j)The undersigned registrant hereby undertakes to file an application for the purpose of determining the eligibility of the trustee to act under subsection (a) of Section 310 of the Trust Indenture Act (the “Act”) in accordance with the rules and regulations prescribed by the SEC under section 305(b)(2) of the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II-5</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Bethesda, Maryland, on June 12, 2025. </w:t>
      </w:r>
    </w:p>
    <w:tbl>
      <w:tblPr>
        <w:tblW w:w="5711" w:type="dxa"/>
        <w:jc w:val="left"/>
        <w:tblInd w:w="0" w:type="dxa"/>
        <w:tblLayout w:type="fixed"/>
        <w:tblCellMar>
          <w:top w:w="28" w:type="dxa"/>
          <w:left w:w="28" w:type="dxa"/>
          <w:bottom w:w="28" w:type="dxa"/>
          <w:right w:w="28" w:type="dxa"/>
        </w:tblCellMar>
      </w:tblPr>
      <w:tblGrid>
        <w:gridCol w:w="124"/>
        <w:gridCol w:w="109"/>
        <w:gridCol w:w="109"/>
        <w:gridCol w:w="555"/>
        <w:gridCol w:w="555"/>
        <w:gridCol w:w="555"/>
        <w:gridCol w:w="1079"/>
        <w:gridCol w:w="1079"/>
        <w:gridCol w:w="15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HOST HOTELS &amp; RESORTS,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By: HOST HOTELS &amp; RESORTS, INC.,</w:t>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its general partner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Sourav Ghosh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Sourav Ghosh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Executive Vice President, Chief Financial Officer</w:t>
            </w:r>
          </w:p>
        </w:tc>
      </w:tr>
    </w:tbl>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the undersigned directors and officers of Host Hotels &amp; Resorts, Inc., the general partner of Host Hotels &amp; Resorts, L.P., do hereby severally constitute and appoint Julie P. Aslaksen and Sourav Ghosh, and each of them singly (with full power to each of them to act alone), as his or her true and lawful attorneys-in-fact and agents, with full power of substitution and resubstitution in each of them, for him or her and in his or her name, place and stead, and in any and all capacities, to file and sign any and all amendments, including post-effective amendments, to this registration statement and any other registration statement for the same offering that is to be effective under Rule 462(b) of the Securities Act,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Maryland and applicable federal securities laws. </w:t>
      </w:r>
    </w:p>
    <w:p>
      <w:pPr>
        <w:pStyle w:val="TextBody"/>
        <w:bidi w:val="0"/>
        <w:spacing w:lineRule="auto" w:line="288" w:before="0" w:after="180"/>
        <w:jc w:val="left"/>
        <w:rPr/>
      </w:pPr>
      <w:hyperlink w:anchor="i828c8d6df1b64850a1d6770319ac653e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II-6</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1933, as amended, this registration statement has been signed below by the following persons on behalf of the registrant in the capacities and on the dates indicated.</w:t>
      </w:r>
    </w:p>
    <w:tbl>
      <w:tblPr>
        <w:tblW w:w="8062" w:type="dxa"/>
        <w:jc w:val="left"/>
        <w:tblInd w:w="0" w:type="dxa"/>
        <w:tblLayout w:type="fixed"/>
        <w:tblCellMar>
          <w:top w:w="28" w:type="dxa"/>
          <w:left w:w="28" w:type="dxa"/>
          <w:bottom w:w="28" w:type="dxa"/>
          <w:right w:w="28" w:type="dxa"/>
        </w:tblCellMar>
      </w:tblPr>
      <w:tblGrid>
        <w:gridCol w:w="733"/>
        <w:gridCol w:w="644"/>
        <w:gridCol w:w="647"/>
        <w:gridCol w:w="109"/>
        <w:gridCol w:w="109"/>
        <w:gridCol w:w="109"/>
        <w:gridCol w:w="1359"/>
        <w:gridCol w:w="1359"/>
        <w:gridCol w:w="1377"/>
        <w:gridCol w:w="109"/>
        <w:gridCol w:w="109"/>
        <w:gridCol w:w="109"/>
        <w:gridCol w:w="375"/>
        <w:gridCol w:w="375"/>
        <w:gridCol w:w="539"/>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F. Risoleo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12, 2025</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James F. Risoleo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Sourav Ghosh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12, 2025</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Sourav Ghosh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C. Ottinger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Corporate Controller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12, 2025</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Joseph C. Ottinger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E. Marriott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12, 2025</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Richard E. Marriott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Mary L. Baglivo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12, 2025</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Mary L. Baglivo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Herman E. Bulls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12, 2025</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Herman E. Bulls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Mary Hogan Preusse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12, 2025</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Mary Hogan Preusse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Diana M. Laing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12, 2025</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Diana M. Laing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Walter C. Rakowich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12, 2025</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Walter C. Rakowich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Gordon H.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12, 2025</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Gordon H.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 William 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12, 2025</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William 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Normal"/>
        <w:bidi w:val="0"/>
        <w:spacing w:before="0" w:after="0"/>
        <w:jc w:val="left"/>
        <w:rPr>
          <w:sz w:val="4"/>
          <w:szCs w:val="4"/>
        </w:rPr>
      </w:pPr>
      <w:r>
        <w:rPr>
          <w:sz w:val="4"/>
          <w:szCs w:val="4"/>
        </w:rPr>
      </w:r>
      <w:bookmarkStart w:id="0" w:name="hosthotelsjune12fees.htm"/>
      <w:bookmarkStart w:id="1" w:name="kshosthotelsjune12fees"/>
      <w:bookmarkStart w:id="2" w:name="hosthotelsjune12fees.htm"/>
      <w:bookmarkStart w:id="3" w:name="kshosthotelsjune12fees"/>
      <w:bookmarkEnd w:id="2"/>
      <w:bookmarkEnd w:id="3"/>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II-7</w:t>
                      </w:r>
                    </w:p>
                  </w:txbxContent>
                </v:textbox>
                <w10:wrap type="none"/>
              </v:rect>
            </w:pict>
          </mc:Fallback>
        </mc:AlternateContent>
      </w:r>
    </w:p>
    <w:tbl>
      <w:tblPr>
        <w:tblW w:w="3995" w:type="dxa"/>
        <w:jc w:val="left"/>
        <w:tblInd w:w="0" w:type="dxa"/>
        <w:tblLayout w:type="fixed"/>
        <w:tblCellMar>
          <w:top w:w="28" w:type="dxa"/>
          <w:left w:w="28" w:type="dxa"/>
          <w:bottom w:w="28" w:type="dxa"/>
          <w:right w:w="28" w:type="dxa"/>
        </w:tblCellMar>
      </w:tblPr>
      <w:tblGrid>
        <w:gridCol w:w="3841"/>
        <w:gridCol w:w="154"/>
      </w:tblGrid>
      <w:tr>
        <w:trPr/>
        <w:tc>
          <w:tcPr>
            <w:tcW w:w="399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84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before="0" w:after="283"/>
              <w:jc w:val="left"/>
              <w:rPr>
                <w:b/>
              </w:rPr>
            </w:pPr>
            <w:r>
              <w:rPr>
                <w:b/>
              </w:rPr>
              <w:t xml:space="preserve">HOST HOTELS &amp; RESORTS L.P. </w:t>
            </w:r>
          </w:p>
        </w:tc>
        <w:tc>
          <w:tcPr>
            <w:tcW w:w="154" w:type="dxa"/>
            <w:tcBorders/>
          </w:tcPr>
          <w:p>
            <w:pPr>
              <w:pStyle w:val="TableContents"/>
              <w:bidi w:val="0"/>
              <w:spacing w:before="0" w:after="283"/>
              <w:jc w:val="left"/>
              <w:rPr>
                <w:sz w:val="4"/>
                <w:szCs w:val="4"/>
              </w:rPr>
            </w:pPr>
            <w:r>
              <w:rPr>
                <w:sz w:val="4"/>
                <w:szCs w:val="4"/>
              </w:rPr>
            </w:r>
          </w:p>
        </w:tc>
      </w:tr>
    </w:tbl>
    <w:tbl>
      <w:tblPr>
        <w:tblW w:w="6061" w:type="dxa"/>
        <w:jc w:val="left"/>
        <w:tblInd w:w="0" w:type="dxa"/>
        <w:tblLayout w:type="fixed"/>
        <w:tblCellMar>
          <w:top w:w="28" w:type="dxa"/>
          <w:left w:w="28" w:type="dxa"/>
          <w:bottom w:w="28" w:type="dxa"/>
          <w:right w:w="28" w:type="dxa"/>
        </w:tblCellMar>
      </w:tblPr>
      <w:tblGrid>
        <w:gridCol w:w="6061"/>
      </w:tblGrid>
      <w:tr>
        <w:trPr/>
        <w:tc>
          <w:tcPr>
            <w:tcW w:w="6061" w:type="dxa"/>
            <w:tcBorders/>
            <w:vAlign w:val="center"/>
          </w:tcPr>
          <w:p>
            <w:pPr>
              <w:pStyle w:val="TableHeading"/>
              <w:bidi w:val="0"/>
              <w:spacing w:before="0" w:after="0"/>
              <w:ind w:left="0" w:right="0" w:hanging="0"/>
              <w:jc w:val="center"/>
              <w:rPr/>
            </w:pPr>
            <w:r>
              <w:rPr>
                <w:b/>
              </w:rPr>
              <w:t>Table 1: Newly Registered and Carry Forward Securities</w:t>
            </w:r>
            <w:r>
              <w:rPr/>
              <w:t xml:space="preserve"> </w:t>
            </w:r>
          </w:p>
        </w:tc>
      </w:tr>
    </w:tbl>
    <w:tbl>
      <w:tblPr>
        <w:tblW w:w="16079" w:type="dxa"/>
        <w:jc w:val="left"/>
        <w:tblInd w:w="0" w:type="dxa"/>
        <w:tblLayout w:type="fixed"/>
        <w:tblCellMar>
          <w:top w:w="28" w:type="dxa"/>
          <w:left w:w="28" w:type="dxa"/>
          <w:bottom w:w="28" w:type="dxa"/>
          <w:right w:w="28" w:type="dxa"/>
        </w:tblCellMar>
      </w:tblPr>
      <w:tblGrid>
        <w:gridCol w:w="1126"/>
        <w:gridCol w:w="226"/>
        <w:gridCol w:w="946"/>
        <w:gridCol w:w="1021"/>
        <w:gridCol w:w="1276"/>
        <w:gridCol w:w="148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4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07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457(o) </w:t>
            </w:r>
          </w:p>
        </w:tc>
        <w:tc>
          <w:tcPr>
            <w:tcW w:w="1486" w:type="dxa"/>
            <w:tcBorders/>
            <w:shd w:fill="E7E7E2" w:val="clear"/>
            <w:vAlign w:val="center"/>
          </w:tcPr>
          <w:p>
            <w:pPr>
              <w:pStyle w:val="TableContents"/>
              <w:bidi w:val="0"/>
              <w:spacing w:before="0" w:after="283"/>
              <w:jc w:val="right"/>
              <w:rPr/>
            </w:pPr>
            <w:r>
              <w:rPr/>
              <w:t xml:space="preserve">1,800,000,000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$ 1,800,000,000.00 </w:t>
            </w:r>
          </w:p>
        </w:tc>
        <w:tc>
          <w:tcPr>
            <w:tcW w:w="1126" w:type="dxa"/>
            <w:tcBorders/>
            <w:shd w:fill="E7E7E2" w:val="clear"/>
            <w:vAlign w:val="center"/>
          </w:tcPr>
          <w:p>
            <w:pPr>
              <w:pStyle w:val="TableContents"/>
              <w:bidi w:val="0"/>
              <w:spacing w:before="0" w:after="283"/>
              <w:jc w:val="right"/>
              <w:rPr/>
            </w:pPr>
            <w:r>
              <w:rPr/>
              <w:t xml:space="preserve">0.0001531 </w:t>
            </w:r>
          </w:p>
        </w:tc>
        <w:tc>
          <w:tcPr>
            <w:tcW w:w="1366" w:type="dxa"/>
            <w:tcBorders/>
            <w:shd w:fill="E7E7E2" w:val="clear"/>
            <w:vAlign w:val="center"/>
          </w:tcPr>
          <w:p>
            <w:pPr>
              <w:pStyle w:val="TableContents"/>
              <w:bidi w:val="0"/>
              <w:spacing w:before="0" w:after="283"/>
              <w:jc w:val="right"/>
              <w:rPr/>
            </w:pPr>
            <w:r>
              <w:rPr/>
              <w:t xml:space="preserve">$ 275,580.00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07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415(a)(6) </w:t>
            </w:r>
          </w:p>
        </w:tc>
        <w:tc>
          <w:tcPr>
            <w:tcW w:w="1486" w:type="dxa"/>
            <w:tcBorders/>
            <w:shd w:fill="E7E7E2" w:val="clear"/>
            <w:vAlign w:val="center"/>
          </w:tcPr>
          <w:p>
            <w:pPr>
              <w:pStyle w:val="TableContents"/>
              <w:bidi w:val="0"/>
              <w:spacing w:before="0" w:after="283"/>
              <w:jc w:val="right"/>
              <w:rPr/>
            </w:pPr>
            <w:r>
              <w:rPr/>
              <w:t xml:space="preserve">200,000,000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$ 200,000,000.00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333-278572 </w:t>
            </w:r>
          </w:p>
        </w:tc>
        <w:tc>
          <w:tcPr>
            <w:tcW w:w="1021" w:type="dxa"/>
            <w:tcBorders/>
            <w:shd w:fill="E7E7E2" w:val="clear"/>
            <w:vAlign w:val="center"/>
          </w:tcPr>
          <w:p>
            <w:pPr>
              <w:pStyle w:val="TableContents"/>
              <w:bidi w:val="0"/>
              <w:spacing w:before="0" w:after="283"/>
              <w:jc w:val="center"/>
              <w:rPr/>
            </w:pPr>
            <w:r>
              <w:rPr/>
              <w:t xml:space="preserve">04/17/2024 </w:t>
            </w:r>
          </w:p>
        </w:tc>
        <w:tc>
          <w:tcPr>
            <w:tcW w:w="1321" w:type="dxa"/>
            <w:tcBorders/>
            <w:shd w:fill="E7E7E2" w:val="clear"/>
            <w:vAlign w:val="center"/>
          </w:tcPr>
          <w:p>
            <w:pPr>
              <w:pStyle w:val="TableContents"/>
              <w:bidi w:val="0"/>
              <w:spacing w:before="0" w:after="283"/>
              <w:jc w:val="right"/>
              <w:rPr/>
            </w:pPr>
            <w:r>
              <w:rPr/>
              <w:t xml:space="preserve">$ 29,520.00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4" w:name="MaxAggtOfferingPrice"/>
            <w:bookmarkEnd w:id="4"/>
            <w:r>
              <w:rPr/>
              <w:t xml:space="preserve">$ 2,000,000,000.00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$ 275,580.00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6" w:name="TotalPreviouslyPaidAmt"/>
            <w:bookmarkEnd w:id="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7" w:name="TotalOffsetAmt"/>
            <w:bookmarkEnd w:id="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8" w:name="NetFeeAmt"/>
            <w:bookmarkEnd w:id="8"/>
            <w:r>
              <w:rPr/>
              <w:t xml:space="preserve">$ 275,580.00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0007"/>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tcBorders/>
            <w:vAlign w:val="center"/>
          </w:tcPr>
          <w:p>
            <w:pPr>
              <w:pStyle w:val="TableContents"/>
              <w:bidi w:val="0"/>
              <w:spacing w:before="0" w:after="283"/>
              <w:jc w:val="left"/>
              <w:rPr/>
            </w:pPr>
            <w:r>
              <w:rPr/>
              <w:t xml:space="preserve">The $2,000,000,000 of securities registered pursuant to this registration statement includes $200,000,000 of securities (the "Unsold Securities") registered pursuant to Registration Statement No. 333-278572, which became effective on April 17, 2024 (the "2024 Registration Statement"), that are being carried forward pursuant to Rule 415(a)(6) of the Securities Act. Pursuant to Rule 415(a)(6) under the Securities Act of 1933, as amended (the "Securities Act"), the filing fees previously paid in connection with the Unsold Securities will continue to be applied to the Unsold Securities. $29,520.00 in filing fees was previously paid in connection with the Unsold Securities, in connection with the 2024 Registration Statement (calculated at the rate in effect at the time the 2024 Registration Statement was filed, which was $0.0001476). A filing fee of $275,580.00 is paid herewith in connection with the $1,800,000,000 of additional securities registered hereunder. Pursuant to Rule 415(a)(6) under the Securities Act, the offering of the Unsold Securities under the 2024 Registration Statement will be deemed terminated as of the date of effectiveness of this registration statement. The proposed maximum offering price per unit will be determined from time to time by the registrant in connection with the issuance by the registrant of the securities registered hereunder. Estimated solely for the purpose of calculating the registration fee pursuant to Rule 457(o) under the Securities Act. The aggregate public offering price of all securities registered hereby will not exceed $2,000,000,000 or the equivalent thereof on the date of issuance in one or more foreign currencies, foreign currency units or composite currencies. Such amount represents the issue price rather than the principal amount of any debt securities issued at an original issue discount. </w:t>
            </w:r>
          </w:p>
        </w:tc>
      </w:tr>
      <w:tr>
        <w:trPr/>
        <w:tc>
          <w:tcPr>
            <w:tcW w:w="198" w:type="dxa"/>
            <w:tcBorders/>
            <w:vAlign w:val="center"/>
          </w:tcPr>
          <w:p>
            <w:pPr>
              <w:pStyle w:val="TableContents"/>
              <w:bidi w:val="0"/>
              <w:spacing w:before="0" w:after="283"/>
              <w:jc w:val="left"/>
              <w:rPr>
                <w:sz w:val="4"/>
                <w:szCs w:val="4"/>
              </w:rPr>
            </w:pPr>
            <w:r>
              <w:rPr>
                <w:sz w:val="4"/>
                <w:szCs w:val="4"/>
              </w:rPr>
            </w:r>
          </w:p>
        </w:tc>
        <w:tc>
          <w:tcPr>
            <w:tcW w:w="10007" w:type="dxa"/>
            <w:tcBorders/>
            <w:vAlign w:val="center"/>
          </w:tcPr>
          <w:p>
            <w:pPr>
              <w:pStyle w:val="HorizontalLine"/>
              <w:pBdr>
                <w:bottom w:val="double" w:sz="2" w:space="0" w:color="808080"/>
              </w:pBdr>
              <w:bidi w:val="0"/>
              <w:spacing w:before="0" w:after="283"/>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6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5.1</w:t>
      </w:r>
    </w:p>
    <w:tbl>
      <w:tblPr>
        <w:tblW w:w="6548" w:type="dxa"/>
        <w:jc w:val="left"/>
        <w:tblInd w:w="0" w:type="dxa"/>
        <w:tblLayout w:type="fixed"/>
        <w:tblCellMar>
          <w:top w:w="28" w:type="dxa"/>
          <w:left w:w="28" w:type="dxa"/>
          <w:bottom w:w="28" w:type="dxa"/>
          <w:right w:w="28" w:type="dxa"/>
        </w:tblCellMar>
      </w:tblPr>
      <w:tblGrid>
        <w:gridCol w:w="1341"/>
        <w:gridCol w:w="1179"/>
        <w:gridCol w:w="1181"/>
        <w:gridCol w:w="444"/>
        <w:gridCol w:w="444"/>
        <w:gridCol w:w="444"/>
        <w:gridCol w:w="444"/>
        <w:gridCol w:w="444"/>
        <w:gridCol w:w="627"/>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555 Eleventh Street, N.W., Suite 1000</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Washington, D.C. 20004-1304</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Tel: +1.202.637.2200 Fax: +1.202.637.2201</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www.lw.com</w:t>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286000" cy="142875"/>
                  <wp:effectExtent l="0" t="0" r="0" b="0"/>
                  <wp:docPr id="3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 descr=""/>
                          <pic:cNvPicPr>
                            <a:picLocks noChangeAspect="1" noChangeArrowheads="1"/>
                          </pic:cNvPicPr>
                        </pic:nvPicPr>
                        <pic:blipFill>
                          <a:blip r:embed="rId17"/>
                          <a:stretch>
                            <a:fillRect/>
                          </a:stretch>
                        </pic:blipFill>
                        <pic:spPr bwMode="auto">
                          <a:xfrm>
                            <a:off x="0" y="0"/>
                            <a:ext cx="2286000" cy="142875"/>
                          </a:xfrm>
                          <a:prstGeom prst="rect">
                            <a:avLst/>
                          </a:prstGeom>
                        </pic:spPr>
                      </pic:pic>
                    </a:graphicData>
                  </a:graphic>
                </wp:inline>
              </w:drawing>
            </w:r>
          </w:p>
        </w:tc>
        <w:tc>
          <w:tcPr>
            <w:tcW w:w="28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FIRM / AFFILIATE OFFICES</w:t>
            </w:r>
          </w:p>
        </w:tc>
      </w:tr>
      <w:tr>
        <w:trPr/>
        <w:tc>
          <w:tcPr>
            <w:tcW w:w="3701" w:type="dxa"/>
            <w:gridSpan w:val="3"/>
            <w:vMerge w:val="continue"/>
            <w:tcBorders/>
            <w:tcMar>
              <w:top w:w="0" w:type="dxa"/>
              <w:left w:w="0" w:type="dxa"/>
              <w:bottom w:w="0" w:type="dxa"/>
              <w:right w:w="0" w:type="dxa"/>
            </w:tcMar>
            <w:vAlign w:val="center"/>
          </w:tcPr>
          <w:p>
            <w:pPr>
              <w:pStyle w:val="Normal"/>
              <w:bidi w:val="0"/>
              <w:jc w:val="left"/>
              <w:rPr/>
            </w:pPr>
            <w:r>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Austin</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Milan</w:t>
            </w:r>
          </w:p>
        </w:tc>
      </w:tr>
      <w:tr>
        <w:trPr/>
        <w:tc>
          <w:tcPr>
            <w:tcW w:w="3701" w:type="dxa"/>
            <w:gridSpan w:val="3"/>
            <w:vMerge w:val="continue"/>
            <w:tcBorders/>
            <w:tcMar>
              <w:top w:w="0" w:type="dxa"/>
              <w:left w:w="0" w:type="dxa"/>
              <w:bottom w:w="0" w:type="dxa"/>
              <w:right w:w="0" w:type="dxa"/>
            </w:tcMar>
            <w:vAlign w:val="center"/>
          </w:tcPr>
          <w:p>
            <w:pPr>
              <w:pStyle w:val="Normal"/>
              <w:bidi w:val="0"/>
              <w:jc w:val="left"/>
              <w:rPr/>
            </w:pPr>
            <w:r>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Beijing</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Munich</w:t>
            </w:r>
          </w:p>
        </w:tc>
      </w:tr>
      <w:tr>
        <w:trPr/>
        <w:tc>
          <w:tcPr>
            <w:tcW w:w="3701" w:type="dxa"/>
            <w:gridSpan w:val="3"/>
            <w:vMerge w:val="continue"/>
            <w:tcBorders/>
            <w:tcMar>
              <w:top w:w="0" w:type="dxa"/>
              <w:left w:w="0" w:type="dxa"/>
              <w:bottom w:w="0" w:type="dxa"/>
              <w:right w:w="0" w:type="dxa"/>
            </w:tcMar>
            <w:vAlign w:val="center"/>
          </w:tcPr>
          <w:p>
            <w:pPr>
              <w:pStyle w:val="Normal"/>
              <w:bidi w:val="0"/>
              <w:jc w:val="left"/>
              <w:rPr/>
            </w:pPr>
            <w:r>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Boston</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New York</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Brussels</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Orange County</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Century City</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Paris</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Chicago</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Riyadh</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Dubai</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San Diego</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Düsseldorf</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San Francisco</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Frankfurt</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Seoul</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Hamburg</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Silicon Valley</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Hong Kong</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Singapore</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Houston</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Tel Aviv</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London</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Tokyo</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Los Angeles</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Washington, D.C.</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Madrid</w:t>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600"/>
        <w:jc w:val="left"/>
        <w:rPr/>
      </w:pPr>
      <w:r>
        <w:rPr/>
      </w:r>
    </w:p>
    <w:p>
      <w:pPr>
        <w:pStyle w:val="TextBody"/>
        <w:bidi w:val="0"/>
        <w:spacing w:lineRule="auto" w:line="288" w:before="0" w:after="48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June 12, 2025</w:t>
      </w:r>
    </w:p>
    <w:p>
      <w:pPr>
        <w:pStyle w:val="TextBody"/>
        <w:bidi w:val="0"/>
        <w:spacing w:lineRule="auto" w:line="288"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Host Hotels &amp; Resorts, L.P. </w:t>
      </w:r>
    </w:p>
    <w:p>
      <w:pPr>
        <w:pStyle w:val="TextBody"/>
        <w:bidi w:val="0"/>
        <w:spacing w:lineRule="auto" w:line="288"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4747 Bethesda Avenue </w:t>
      </w:r>
    </w:p>
    <w:p>
      <w:pPr>
        <w:pStyle w:val="TextBody"/>
        <w:bidi w:val="0"/>
        <w:spacing w:lineRule="auto" w:line="288"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Suite 1300 </w:t>
      </w:r>
    </w:p>
    <w:p>
      <w:pPr>
        <w:pStyle w:val="TextBody"/>
        <w:bidi w:val="0"/>
        <w:spacing w:lineRule="auto" w:line="288" w:before="0" w:after="24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Bethesda, Maryland 20814 </w:t>
      </w:r>
    </w:p>
    <w:p>
      <w:pPr>
        <w:pStyle w:val="TextBody"/>
        <w:bidi w:val="0"/>
        <w:spacing w:lineRule="auto" w:line="288" w:before="0" w:after="240"/>
        <w:jc w:val="left"/>
        <w:rPr>
          <w:shd w:fill="FFFFFF" w:val="clear"/>
        </w:rPr>
      </w:pPr>
      <w:r>
        <w:rPr>
          <w:rFonts w:ascii="Times New Roman;sans-serif" w:hAnsi="Times New Roman;sans-serif"/>
          <w:b w:val="false"/>
          <w:color w:val="000000"/>
          <w:sz w:val="22"/>
          <w:shd w:fill="FFFFFF" w:val="clear"/>
        </w:rPr>
        <w:t xml:space="preserve">Re: </w:t>
      </w:r>
      <w:r>
        <w:rPr>
          <w:rFonts w:ascii="Times New Roman;sans-serif" w:hAnsi="Times New Roman;sans-serif"/>
          <w:b w:val="false"/>
          <w:color w:val="000000"/>
          <w:sz w:val="22"/>
          <w:u w:val="single"/>
          <w:shd w:fill="FFFFFF" w:val="clear"/>
        </w:rPr>
        <w:t>Registration Statement on Form S-3 for $2,000,000,000 Aggregate Principal Amount of Debt Securities</w:t>
      </w:r>
    </w:p>
    <w:p>
      <w:pPr>
        <w:pStyle w:val="TextBody"/>
        <w:bidi w:val="0"/>
        <w:spacing w:lineRule="auto" w:line="288" w:before="0" w:after="24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To the addressee set forth above: </w:t>
      </w:r>
    </w:p>
    <w:p>
      <w:pPr>
        <w:pStyle w:val="TextBody"/>
        <w:bidi w:val="0"/>
        <w:spacing w:lineRule="auto" w:line="288" w:before="0" w:after="240"/>
        <w:ind w:left="0" w:right="0" w:firstLine="720"/>
        <w:jc w:val="left"/>
        <w:rPr>
          <w:shd w:fill="FFFFFF" w:val="clear"/>
        </w:rPr>
      </w:pPr>
      <w:r>
        <w:rPr>
          <w:rFonts w:ascii="Times New Roman;sans-serif" w:hAnsi="Times New Roman;sans-serif"/>
          <w:b w:val="false"/>
          <w:color w:val="000000"/>
          <w:sz w:val="22"/>
          <w:shd w:fill="FFFFFF" w:val="clear"/>
        </w:rPr>
        <w:t>We have acted as special counsel to Host Hotels &amp; Resorts, L.P., a Delaware limited partnership (the “</w:t>
      </w:r>
      <w:r>
        <w:rPr>
          <w:rFonts w:ascii="Times New Roman;sans-serif" w:hAnsi="Times New Roman;sans-serif"/>
          <w:b/>
          <w:i/>
          <w:color w:val="000000"/>
          <w:sz w:val="22"/>
          <w:shd w:fill="FFFFFF" w:val="clear"/>
        </w:rPr>
        <w:t>Company</w:t>
      </w:r>
      <w:r>
        <w:rPr>
          <w:color w:val="000000"/>
          <w:shd w:fill="FFFFFF" w:val="clear"/>
        </w:rPr>
        <w:t>”</w:t>
      </w:r>
      <w:r>
        <w:rPr>
          <w:rFonts w:ascii="Times New Roman;sans-serif" w:hAnsi="Times New Roman;sans-serif"/>
          <w:b w:val="false"/>
          <w:color w:val="000000"/>
          <w:sz w:val="22"/>
          <w:shd w:fill="FFFFFF" w:val="clear"/>
        </w:rPr>
        <w:t>), in connection with its filing on the date hereof with the Securities and Exchange Commission (the “</w:t>
      </w:r>
      <w:r>
        <w:rPr>
          <w:rFonts w:ascii="Times New Roman;sans-serif" w:hAnsi="Times New Roman;sans-serif"/>
          <w:b/>
          <w:i/>
          <w:color w:val="000000"/>
          <w:sz w:val="22"/>
          <w:shd w:fill="FFFFFF" w:val="clear"/>
        </w:rPr>
        <w:t>Commission</w:t>
      </w:r>
      <w:r>
        <w:rPr>
          <w:color w:val="000000"/>
          <w:shd w:fill="FFFFFF" w:val="clear"/>
        </w:rPr>
        <w:t>”</w:t>
      </w:r>
      <w:r>
        <w:rPr>
          <w:rFonts w:ascii="Times New Roman;sans-serif" w:hAnsi="Times New Roman;sans-serif"/>
          <w:b w:val="false"/>
          <w:color w:val="000000"/>
          <w:sz w:val="22"/>
          <w:shd w:fill="FFFFFF" w:val="clear"/>
        </w:rPr>
        <w:t>) of a registration statement on Form S-3 (the “</w:t>
      </w:r>
      <w:r>
        <w:rPr>
          <w:rFonts w:ascii="Times New Roman;sans-serif" w:hAnsi="Times New Roman;sans-serif"/>
          <w:b/>
          <w:i/>
          <w:color w:val="000000"/>
          <w:sz w:val="22"/>
          <w:shd w:fill="FFFFFF" w:val="clear"/>
        </w:rPr>
        <w:t>Registration Statement</w:t>
      </w:r>
      <w:r>
        <w:rPr>
          <w:color w:val="000000"/>
          <w:shd w:fill="FFFFFF" w:val="clear"/>
        </w:rPr>
        <w:t>”</w:t>
      </w:r>
      <w:r>
        <w:rPr>
          <w:rFonts w:ascii="Times New Roman;sans-serif" w:hAnsi="Times New Roman;sans-serif"/>
          <w:b w:val="false"/>
          <w:color w:val="000000"/>
          <w:sz w:val="22"/>
          <w:shd w:fill="FFFFFF" w:val="clear"/>
        </w:rPr>
        <w:t>), including a base prospectus (the “</w:t>
      </w:r>
      <w:r>
        <w:rPr>
          <w:rFonts w:ascii="Times New Roman;sans-serif" w:hAnsi="Times New Roman;sans-serif"/>
          <w:b/>
          <w:i/>
          <w:color w:val="000000"/>
          <w:sz w:val="22"/>
          <w:shd w:fill="FFFFFF" w:val="clear"/>
        </w:rPr>
        <w:t>Base Prospectus</w:t>
      </w:r>
      <w:r>
        <w:rPr>
          <w:color w:val="000000"/>
          <w:shd w:fill="FFFFFF" w:val="clear"/>
        </w:rPr>
        <w:t>”</w:t>
      </w:r>
      <w:r>
        <w:rPr>
          <w:rFonts w:ascii="Times New Roman;sans-serif" w:hAnsi="Times New Roman;sans-serif"/>
          <w:b w:val="false"/>
          <w:color w:val="000000"/>
          <w:sz w:val="22"/>
          <w:shd w:fill="FFFFFF" w:val="clear"/>
        </w:rPr>
        <w:t>), which provides that it will be supplemented by one or more prospectus supplements (each such prospectus supplement, together with the Base Prospectus, a “</w:t>
      </w:r>
      <w:r>
        <w:rPr>
          <w:rFonts w:ascii="Times New Roman;sans-serif" w:hAnsi="Times New Roman;sans-serif"/>
          <w:b/>
          <w:i/>
          <w:color w:val="000000"/>
          <w:sz w:val="22"/>
          <w:shd w:fill="FFFFFF" w:val="clear"/>
        </w:rPr>
        <w:t>Prospectus</w:t>
      </w:r>
      <w:r>
        <w:rPr>
          <w:color w:val="000000"/>
          <w:shd w:fill="FFFFFF" w:val="clear"/>
        </w:rPr>
        <w:t>”</w:t>
      </w:r>
      <w:r>
        <w:rPr>
          <w:rFonts w:ascii="Times New Roman;sans-serif" w:hAnsi="Times New Roman;sans-serif"/>
          <w:b w:val="false"/>
          <w:color w:val="000000"/>
          <w:sz w:val="22"/>
          <w:shd w:fill="FFFFFF" w:val="clear"/>
        </w:rPr>
        <w:t>), under the Securities Act of 1933, as amended (the “</w:t>
      </w:r>
      <w:r>
        <w:rPr>
          <w:rFonts w:ascii="Times New Roman;sans-serif" w:hAnsi="Times New Roman;sans-serif"/>
          <w:b/>
          <w:i/>
          <w:color w:val="000000"/>
          <w:sz w:val="22"/>
          <w:shd w:fill="FFFFFF" w:val="clear"/>
        </w:rPr>
        <w:t>Act</w:t>
      </w:r>
      <w:r>
        <w:rPr>
          <w:color w:val="000000"/>
          <w:shd w:fill="FFFFFF" w:val="clear"/>
        </w:rPr>
        <w:t>”</w:t>
      </w:r>
      <w:r>
        <w:rPr>
          <w:rFonts w:ascii="Times New Roman;sans-serif" w:hAnsi="Times New Roman;sans-serif"/>
          <w:b w:val="false"/>
          <w:color w:val="000000"/>
          <w:sz w:val="22"/>
          <w:shd w:fill="FFFFFF" w:val="clear"/>
        </w:rPr>
        <w:t>), relating to the registration for issue and sale by the Company of up to $2,000,000,000 aggregate principal amount of one or more series of the Company’s debt securities (collectively, the “</w:t>
      </w:r>
      <w:r>
        <w:rPr>
          <w:rFonts w:ascii="Times New Roman;sans-serif" w:hAnsi="Times New Roman;sans-serif"/>
          <w:b/>
          <w:i/>
          <w:color w:val="000000"/>
          <w:sz w:val="22"/>
          <w:shd w:fill="FFFFFF" w:val="clear"/>
        </w:rPr>
        <w:t>Debt Securities</w:t>
      </w:r>
      <w:r>
        <w:rPr>
          <w:color w:val="000000"/>
          <w:shd w:fill="FFFFFF" w:val="clear"/>
        </w:rPr>
        <w:t>”</w:t>
      </w:r>
      <w:r>
        <w:rPr>
          <w:rFonts w:ascii="Times New Roman;sans-serif" w:hAnsi="Times New Roman;sans-serif"/>
          <w:b w:val="false"/>
          <w:color w:val="000000"/>
          <w:sz w:val="22"/>
          <w:shd w:fill="FFFFFF" w:val="clear"/>
        </w:rPr>
        <w:t>) to be issued under an indenture dated May 15, 2015 between the Company, as issuer, and The Bank of New York Mellon, as trustee (which is included as Exhibit 4.1 to the Registration Statement), and one or more board resolutions, supplements thereto or officer’s certificates thereunder (such indenture, together with the applicable board resolution, supplement or officer’s certificate pertaining to the applicable series of Debt Securities, the “</w:t>
      </w:r>
      <w:r>
        <w:rPr>
          <w:rFonts w:ascii="Times New Roman;sans-serif" w:hAnsi="Times New Roman;sans-serif"/>
          <w:b/>
          <w:i/>
          <w:color w:val="000000"/>
          <w:sz w:val="22"/>
          <w:shd w:fill="FFFFFF" w:val="clear"/>
        </w:rPr>
        <w:t>Applicable Indenture</w:t>
      </w:r>
      <w:r>
        <w:rPr>
          <w:color w:val="000000"/>
          <w:shd w:fill="FFFFFF" w:val="clear"/>
        </w:rPr>
        <w:t>”</w:t>
      </w:r>
      <w:r>
        <w:rPr>
          <w:rFonts w:ascii="Times New Roman;sans-serif" w:hAnsi="Times New Roman;sans-serif"/>
          <w:b w:val="false"/>
          <w:color w:val="000000"/>
          <w:sz w:val="22"/>
          <w:shd w:fill="FFFFFF" w:val="clear"/>
        </w:rPr>
        <w:t xml:space="preserve">). The term “Debt Securities” shall include any additional amounts of such securities that may be registered pursuant to any subsequent registration statement that the Company may hereafter file with the Commission pursuant to Rule 462(b) under the Act in connection with the offering by the Company contemplated by the Registration Statement. </w:t>
      </w:r>
    </w:p>
    <w:p>
      <w:pPr>
        <w:pStyle w:val="TextBody"/>
        <w:bidi w:val="0"/>
        <w:spacing w:lineRule="auto" w:line="288" w:before="0" w:after="240"/>
        <w:ind w:left="0" w:right="0" w:firstLine="72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This opinion is being furnished in connection with the requirements of Item 601(b)(5) of Regulation S-K under the Act, and no opinion is expressed herein as to any matter pertaining to the contents of the Registration Statement or related applicable Prospectus, other than as expressly stated herein with respect to the issue of the Debt Securities. </w:t>
      </w:r>
    </w:p>
    <w:p>
      <w:pPr>
        <w:pStyle w:val="TextBody"/>
        <w:bidi w:val="0"/>
        <w:spacing w:lineRule="auto" w:line="288" w:before="0" w:after="240"/>
        <w:ind w:left="0" w:right="0" w:firstLine="72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Delaware Revised Uniform Partnership Act,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89560"/>
                <wp:effectExtent l="0" t="0" r="0" b="0"/>
                <wp:wrapNone/>
                <wp:docPr id="35" name="Frame33"/>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120"/>
                        <w:jc w:val="left"/>
                        <w:rPr/>
                      </w:pPr>
                      <w:r>
                        <w:rPr/>
                      </w:r>
                    </w:p>
                  </w:txbxContent>
                </v:textbox>
                <w10:wrap type="none"/>
              </v:rect>
            </w:pict>
          </mc:Fallback>
        </mc:AlternateContent>
      </w:r>
    </w:p>
    <w:tbl>
      <w:tblPr>
        <w:tblW w:w="1049" w:type="dxa"/>
        <w:jc w:val="left"/>
        <w:tblInd w:w="0" w:type="dxa"/>
        <w:tblLayout w:type="fixed"/>
        <w:tblCellMar>
          <w:top w:w="28" w:type="dxa"/>
          <w:left w:w="28" w:type="dxa"/>
          <w:bottom w:w="28" w:type="dxa"/>
          <w:right w:w="28" w:type="dxa"/>
        </w:tblCellMar>
      </w:tblPr>
      <w:tblGrid>
        <w:gridCol w:w="336"/>
        <w:gridCol w:w="294"/>
        <w:gridCol w:w="419"/>
      </w:tblGrid>
      <w:tr>
        <w:trPr/>
        <w:tc>
          <w:tcPr>
            <w:tcW w:w="33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June 12, 2025</w:t>
            </w:r>
          </w:p>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Page 2</w:t>
            </w:r>
          </w:p>
        </w:tc>
      </w:tr>
    </w:tbl>
    <w:p>
      <w:pPr>
        <w:pStyle w:val="TextBody"/>
        <w:bidi w:val="0"/>
        <w:spacing w:before="113" w:after="360"/>
        <w:jc w:val="left"/>
        <w:rPr>
          <w:shd w:fill="FFFFFF" w:val="clear"/>
        </w:rPr>
      </w:pPr>
      <w:r>
        <w:rPr>
          <w:shd w:fill="FFFFFF" w:val="clear"/>
        </w:rPr>
        <w:drawing>
          <wp:inline distT="0" distB="0" distL="0" distR="0">
            <wp:extent cx="1533525" cy="95250"/>
            <wp:effectExtent l="0" t="0" r="0" b="0"/>
            <wp:docPr id="3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 descr=""/>
                    <pic:cNvPicPr>
                      <a:picLocks noChangeAspect="1" noChangeArrowheads="1"/>
                    </pic:cNvPicPr>
                  </pic:nvPicPr>
                  <pic:blipFill>
                    <a:blip r:embed="rId18"/>
                    <a:stretch>
                      <a:fillRect/>
                    </a:stretch>
                  </pic:blipFill>
                  <pic:spPr bwMode="auto">
                    <a:xfrm>
                      <a:off x="0" y="0"/>
                      <a:ext cx="1533525" cy="95250"/>
                    </a:xfrm>
                    <a:prstGeom prst="rect">
                      <a:avLst/>
                    </a:prstGeom>
                  </pic:spPr>
                </pic:pic>
              </a:graphicData>
            </a:graphic>
          </wp:inline>
        </w:drawing>
      </w:r>
    </w:p>
    <w:p>
      <w:pPr>
        <w:pStyle w:val="TextBody"/>
        <w:bidi w:val="0"/>
        <w:spacing w:lineRule="auto" w:line="288" w:before="0" w:after="24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and with respect to the opinions set forth in the opinion paragraph below, the internal laws of the State of New York, and we express no opinion with respect to the applicability thereto, or the effect thereon, of the laws of any other jurisdiction or, in the case of Delaware, any other laws, or as to any matters of municipal law or the laws of any local agencies within any state. </w:t>
      </w:r>
    </w:p>
    <w:p>
      <w:pPr>
        <w:pStyle w:val="TextBody"/>
        <w:bidi w:val="0"/>
        <w:spacing w:lineRule="auto" w:line="288" w:before="0" w:after="240"/>
        <w:ind w:left="0" w:right="0" w:firstLine="72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Subject to the foregoing and the other matters set forth herein, it is our opinion that, as of the date hereof, when the Applicable Indenture has been duly authorized, executed and delivered by all necessary limited partnership action of the Company, and when the specific terms of a particular series of Debt Securities have been duly established in accordance with the terms of the Applicable Indenture and authorized by all necessary limited partnership action of the Company, and such Debt Securities have been duly executed, authenticated, issued and delivered against payment therefor in accordance with the terms of the Applicable Indenture and in the manner contemplated by the applicable Prospectus and by such limited partnership action, such Debt Securities will be the legally valid and binding obligations of the Company, enforceable against the Company in accordance with their terms. </w:t>
      </w:r>
    </w:p>
    <w:p>
      <w:pPr>
        <w:pStyle w:val="TextBody"/>
        <w:bidi w:val="0"/>
        <w:spacing w:lineRule="auto" w:line="288" w:before="0" w:after="240"/>
        <w:ind w:left="0" w:right="0" w:firstLine="72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Our opinions are subject to: (i) the effect of bankruptcy, insolvency, reorganization, preference, fraudulent transfer, moratorium or other similar laws relating to or affecting the rights and remedies of creditors; (ii)(a)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 (g) 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 (n)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w:t>
      </w:r>
    </w:p>
    <w:p>
      <w:pPr>
        <w:pStyle w:val="TextBody"/>
        <w:bidi w:val="0"/>
        <w:spacing w:lineRule="auto" w:line="288" w:before="0" w:after="240"/>
        <w:ind w:left="0" w:right="0" w:firstLine="720"/>
        <w:jc w:val="left"/>
        <w:rPr>
          <w:shd w:fill="FFFFFF" w:val="clear"/>
        </w:rPr>
      </w:pPr>
      <w:r>
        <w:rPr>
          <w:rFonts w:ascii="Times New Roman;sans-serif" w:hAnsi="Times New Roman;sans-serif"/>
          <w:b w:val="false"/>
          <w:color w:val="000000"/>
          <w:sz w:val="22"/>
          <w:shd w:fill="FFFFFF" w:val="clear"/>
        </w:rPr>
        <w:t>With your consent, we have assumed (a)  that the Debt Securities and Applicable Indenture governing such Debt Securities (collectively, the “</w:t>
      </w:r>
      <w:r>
        <w:rPr>
          <w:rFonts w:ascii="Times New Roman;sans-serif" w:hAnsi="Times New Roman;sans-serif"/>
          <w:b/>
          <w:i/>
          <w:color w:val="000000"/>
          <w:sz w:val="22"/>
          <w:shd w:fill="FFFFFF" w:val="clear"/>
        </w:rPr>
        <w:t>Documents</w:t>
      </w:r>
      <w:r>
        <w:rPr>
          <w:color w:val="000000"/>
          <w:shd w:fill="FFFFFF" w:val="clear"/>
        </w:rPr>
        <w:t>”</w:t>
      </w:r>
      <w:r>
        <w:rPr>
          <w:rFonts w:ascii="Times New Roman;sans-serif" w:hAnsi="Times New Roman;sans-serif"/>
          <w:b w:val="false"/>
          <w:color w:val="000000"/>
          <w:sz w:val="22"/>
          <w:shd w:fill="FFFFFF" w:val="clear"/>
        </w:rPr>
        <w:t xml:space="preserve">) will be governed by the internal laws of the State of New York, (b) that each of the Documents has been or will be duly authorized, executed and delivered by the parties thereto, (c) that each of the Documents constitutes or will constitute legally valid and binding obligations of the parties thereto other than the Company, enforceable against each of them in accordance with their respective terms, and (d) that the status of each of the Documents as legally valid and binding obligations of the parties will not be affected by any (i) breaches of, or defaults under, agreements or instruments, (ii) violations of statutes, rules, regulations or court or governmental orders, or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7"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9" w:type="dxa"/>
        <w:jc w:val="left"/>
        <w:tblInd w:w="0" w:type="dxa"/>
        <w:tblLayout w:type="fixed"/>
        <w:tblCellMar>
          <w:top w:w="28" w:type="dxa"/>
          <w:left w:w="28" w:type="dxa"/>
          <w:bottom w:w="28" w:type="dxa"/>
          <w:right w:w="28" w:type="dxa"/>
        </w:tblCellMar>
      </w:tblPr>
      <w:tblGrid>
        <w:gridCol w:w="336"/>
        <w:gridCol w:w="294"/>
        <w:gridCol w:w="419"/>
      </w:tblGrid>
      <w:tr>
        <w:trPr/>
        <w:tc>
          <w:tcPr>
            <w:tcW w:w="33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June 12, 2025</w:t>
            </w:r>
          </w:p>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Page 3</w:t>
            </w:r>
          </w:p>
        </w:tc>
      </w:tr>
    </w:tbl>
    <w:p>
      <w:pPr>
        <w:pStyle w:val="TextBody"/>
        <w:bidi w:val="0"/>
        <w:spacing w:before="113" w:after="360"/>
        <w:jc w:val="left"/>
        <w:rPr>
          <w:shd w:fill="FFFFFF" w:val="clear"/>
        </w:rPr>
      </w:pPr>
      <w:r>
        <w:rPr>
          <w:shd w:fill="FFFFFF" w:val="clear"/>
        </w:rPr>
        <w:drawing>
          <wp:inline distT="0" distB="0" distL="0" distR="0">
            <wp:extent cx="1533525" cy="95250"/>
            <wp:effectExtent l="0" t="0" r="0" b="0"/>
            <wp:docPr id="3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4" descr=""/>
                    <pic:cNvPicPr>
                      <a:picLocks noChangeAspect="1" noChangeArrowheads="1"/>
                    </pic:cNvPicPr>
                  </pic:nvPicPr>
                  <pic:blipFill>
                    <a:blip r:embed="rId19"/>
                    <a:stretch>
                      <a:fillRect/>
                    </a:stretch>
                  </pic:blipFill>
                  <pic:spPr bwMode="auto">
                    <a:xfrm>
                      <a:off x="0" y="0"/>
                      <a:ext cx="1533525" cy="95250"/>
                    </a:xfrm>
                    <a:prstGeom prst="rect">
                      <a:avLst/>
                    </a:prstGeom>
                  </pic:spPr>
                </pic:pic>
              </a:graphicData>
            </a:graphic>
          </wp:inline>
        </w:drawing>
      </w:r>
    </w:p>
    <w:p>
      <w:pPr>
        <w:pStyle w:val="TextBody"/>
        <w:bidi w:val="0"/>
        <w:spacing w:lineRule="auto" w:line="288" w:before="0" w:after="24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(iii) failures to obtain required consents, approvals or authorizations from, or to make required registrations, declarations or filings with, governmental authorities. </w:t>
      </w:r>
    </w:p>
    <w:p>
      <w:pPr>
        <w:pStyle w:val="TextBody"/>
        <w:bidi w:val="0"/>
        <w:spacing w:lineRule="auto" w:line="288" w:before="0" w:after="240"/>
        <w:ind w:left="0" w:right="0" w:firstLine="72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We further consent to the incorporation by reference of this letter and consent into any registration statement or post-effective amendment to the Registration Statement filed pursuant to Rule 462(b) under the Act with respect to the Debt Securities. In giving such consent, we do not thereby admit that we are in the category of persons whose consent is required under Section 7 of the Act or the rules and regulations of the Commission thereunder. </w:t>
      </w:r>
    </w:p>
    <w:tbl>
      <w:tblPr>
        <w:tblW w:w="2654" w:type="dxa"/>
        <w:jc w:val="right"/>
        <w:tblInd w:w="0" w:type="dxa"/>
        <w:tblLayout w:type="fixed"/>
        <w:tblCellMar>
          <w:top w:w="28" w:type="dxa"/>
          <w:left w:w="28" w:type="dxa"/>
          <w:bottom w:w="28" w:type="dxa"/>
          <w:right w:w="28" w:type="dxa"/>
        </w:tblCellMar>
      </w:tblPr>
      <w:tblGrid>
        <w:gridCol w:w="848"/>
        <w:gridCol w:w="743"/>
        <w:gridCol w:w="1063"/>
      </w:tblGrid>
      <w:tr>
        <w:trPr/>
        <w:tc>
          <w:tcPr>
            <w:tcW w:w="84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Sincerely,</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Latham &amp; Watkins LLP</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23.2</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9"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611" w:type="dxa"/>
        <w:jc w:val="left"/>
        <w:tblInd w:w="0" w:type="dxa"/>
        <w:tblLayout w:type="fixed"/>
        <w:tblCellMar>
          <w:top w:w="28" w:type="dxa"/>
          <w:left w:w="28" w:type="dxa"/>
          <w:bottom w:w="28" w:type="dxa"/>
          <w:right w:w="28" w:type="dxa"/>
        </w:tblCellMar>
      </w:tblPr>
      <w:tblGrid>
        <w:gridCol w:w="607"/>
        <w:gridCol w:w="534"/>
        <w:gridCol w:w="535"/>
        <w:gridCol w:w="567"/>
        <w:gridCol w:w="567"/>
        <w:gridCol w:w="801"/>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16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00125" cy="400050"/>
                  <wp:effectExtent l="0" t="0" r="0" b="0"/>
                  <wp:docPr id="4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5" descr=""/>
                          <pic:cNvPicPr>
                            <a:picLocks noChangeAspect="1" noChangeArrowheads="1"/>
                          </pic:cNvPicPr>
                        </pic:nvPicPr>
                        <pic:blipFill>
                          <a:blip r:embed="rId20"/>
                          <a:stretch>
                            <a:fillRect/>
                          </a:stretch>
                        </pic:blipFill>
                        <pic:spPr bwMode="auto">
                          <a:xfrm>
                            <a:off x="0" y="0"/>
                            <a:ext cx="1000125" cy="400050"/>
                          </a:xfrm>
                          <a:prstGeom prst="rect">
                            <a:avLst/>
                          </a:prstGeom>
                        </pic:spPr>
                      </pic:pic>
                    </a:graphicData>
                  </a:graphic>
                </wp:inline>
              </w:drawing>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KPMG LLP</w:t>
            </w:r>
          </w:p>
        </w:tc>
      </w:tr>
      <w:tr>
        <w:trPr/>
        <w:tc>
          <w:tcPr>
            <w:tcW w:w="1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Suite 900</w:t>
            </w:r>
          </w:p>
        </w:tc>
      </w:tr>
      <w:tr>
        <w:trPr/>
        <w:tc>
          <w:tcPr>
            <w:tcW w:w="1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8350 Broad Street</w:t>
            </w:r>
          </w:p>
        </w:tc>
      </w:tr>
      <w:tr>
        <w:trPr/>
        <w:tc>
          <w:tcPr>
            <w:tcW w:w="1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McLean, VA 22102</w:t>
            </w:r>
          </w:p>
        </w:tc>
      </w:tr>
    </w:tbl>
    <w:p>
      <w:pPr>
        <w:pStyle w:val="TextBody"/>
        <w:bidi w:val="0"/>
        <w:spacing w:before="0" w:after="240"/>
        <w:jc w:val="center"/>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consent to the use of (i) our reports dated February 26, 2025, with respect to the consolidated financial statements of Host Hotels &amp; Resorts, Inc., and the effectiveness of internal control over financial reporting, and (ii) our report dated February 26, 2025, with respect to the consolidated financial statements of Host Hotels &amp; Resorts, L.P., incorporated herein by reference, and to the reference to our firm under the heading “Experts” in the prospectus.</w:t>
      </w:r>
    </w:p>
    <w:tbl>
      <w:tblPr>
        <w:tblW w:w="1440" w:type="dxa"/>
        <w:jc w:val="center"/>
        <w:tblInd w:w="0" w:type="dxa"/>
        <w:tblLayout w:type="fixed"/>
        <w:tblCellMar>
          <w:top w:w="28" w:type="dxa"/>
          <w:left w:w="28" w:type="dxa"/>
          <w:bottom w:w="28" w:type="dxa"/>
          <w:right w:w="28" w:type="dxa"/>
        </w:tblCellMar>
      </w:tblPr>
      <w:tblGrid>
        <w:gridCol w:w="459"/>
        <w:gridCol w:w="403"/>
        <w:gridCol w:w="578"/>
      </w:tblGrid>
      <w:tr>
        <w:trPr/>
        <w:tc>
          <w:tcPr>
            <w:tcW w:w="45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KPMG LLP</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McLean, Virginia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June 12,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25.1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970915"/>
                <wp:effectExtent l="0" t="0" r="0" b="0"/>
                <wp:wrapNone/>
                <wp:docPr id="41" name="Frame36"/>
                <a:graphic xmlns:a="http://schemas.openxmlformats.org/drawingml/2006/main">
                  <a:graphicData uri="http://schemas.microsoft.com/office/word/2010/wordprocessingShape">
                    <wps:wsp>
                      <wps:cNvSpPr txBox="1"/>
                      <wps:spPr>
                        <a:xfrm>
                          <a:off x="0" y="0"/>
                          <a:ext cx="6480175" cy="970915"/>
                        </a:xfrm>
                        <a:prstGeom prst="rect"/>
                        <a:solidFill>
                          <a:srgbClr val="FFFFFF"/>
                        </a:solidFill>
                      </wps:spPr>
                      <wps:txbx>
                        <w:txbxContent>
                          <w:tbl>
                            <w:tblPr>
                              <w:tblW w:w="6383" w:type="dxa"/>
                              <w:jc w:val="left"/>
                              <w:tblInd w:w="0" w:type="dxa"/>
                              <w:tblLayout w:type="fixed"/>
                              <w:tblCellMar>
                                <w:top w:w="28" w:type="dxa"/>
                                <w:left w:w="28" w:type="dxa"/>
                                <w:bottom w:w="28" w:type="dxa"/>
                                <w:right w:w="28" w:type="dxa"/>
                              </w:tblCellMar>
                            </w:tblPr>
                            <w:tblGrid>
                              <w:gridCol w:w="124"/>
                              <w:gridCol w:w="109"/>
                              <w:gridCol w:w="109"/>
                              <w:gridCol w:w="1888"/>
                              <w:gridCol w:w="1888"/>
                              <w:gridCol w:w="189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4"/>
                                    </w:rPr>
                                  </w:pPr>
                                  <w:r>
                                    <w:rPr>
                                      <w:rFonts w:ascii="sans-serif" w:hAnsi="sans-serif"/>
                                      <w:b w:val="false"/>
                                      <w:color w:val="000000"/>
                                      <w:sz w:val="14"/>
                                    </w:rPr>
                                    <w:t>KPMG LLP, a Delaware limited liability partnership and a member firm of</w:t>
                                    <w:br/>
                                    <w:t>the KPMG global organization of independent member firms affiliated with</w:t>
                                    <w:br/>
                                    <w:t>KPMG International Limited, a private English company limited by guarantee.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45pt;mso-wrap-distance-left:0pt;mso-wrap-distance-right:0pt;mso-wrap-distance-top:0pt;mso-wrap-distance-bottom:0pt;margin-top:0pt;mso-position-vertical:top;mso-position-vertical-relative:text;margin-left:0pt;mso-position-horizontal:left;mso-position-horizontal-relative:text">
                <v:textbox>
                  <w:txbxContent>
                    <w:tbl>
                      <w:tblPr>
                        <w:tblW w:w="6383" w:type="dxa"/>
                        <w:jc w:val="left"/>
                        <w:tblInd w:w="0" w:type="dxa"/>
                        <w:tblLayout w:type="fixed"/>
                        <w:tblCellMar>
                          <w:top w:w="28" w:type="dxa"/>
                          <w:left w:w="28" w:type="dxa"/>
                          <w:bottom w:w="28" w:type="dxa"/>
                          <w:right w:w="28" w:type="dxa"/>
                        </w:tblCellMar>
                      </w:tblPr>
                      <w:tblGrid>
                        <w:gridCol w:w="124"/>
                        <w:gridCol w:w="109"/>
                        <w:gridCol w:w="109"/>
                        <w:gridCol w:w="1888"/>
                        <w:gridCol w:w="1888"/>
                        <w:gridCol w:w="189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4"/>
                              </w:rPr>
                            </w:pPr>
                            <w:r>
                              <w:rPr>
                                <w:rFonts w:ascii="sans-serif" w:hAnsi="sans-serif"/>
                                <w:b w:val="false"/>
                                <w:color w:val="000000"/>
                                <w:sz w:val="14"/>
                              </w:rPr>
                              <w:t>KPMG LLP, a Delaware limited liability partnership and a member firm of</w:t>
                              <w:br/>
                              <w:t>the KPMG global organization of independent member firms affiliated with</w:t>
                              <w:br/>
                              <w:t>KPMG International Limited, a private English company limited by guarantee.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UNITED STATES</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SECURITIES AND EXCHANGE COMMISSION</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Washington, D.C.  20549</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FORM T-1</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STATEMENT OF ELIGIBILITY</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UNDER THE TRUST INDENTURE ACT OF 1939 OF A</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CORPORATION DESIGNATED TO ACT AS TRUSTEE</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CHECK IF AN APPLICATION TO DETERMINE</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ELIGIBILITY OF A TRUSTEE PURSUANT TO</w:t>
      </w:r>
    </w:p>
    <w:p>
      <w:pPr>
        <w:pStyle w:val="TextBody"/>
        <w:bidi w:val="0"/>
        <w:spacing w:lineRule="auto" w:line="288" w:before="0" w:after="120"/>
        <w:jc w:val="center"/>
        <w:rPr>
          <w:rFonts w:ascii="Times New Roman;sans-serif" w:hAnsi="Times New Roman;sans-serif"/>
          <w:b w:val="false"/>
          <w:color w:val="000000"/>
          <w:sz w:val="24"/>
        </w:rPr>
      </w:pPr>
      <w:r>
        <w:rPr>
          <w:rFonts w:ascii="Times New Roman;sans-serif" w:hAnsi="Times New Roman;sans-serif"/>
          <w:b w:val="false"/>
          <w:color w:val="000000"/>
          <w:sz w:val="24"/>
        </w:rPr>
        <w:t>SECTION 305(b)(2)           |__|</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w:t>
      </w:r>
    </w:p>
    <w:p>
      <w:pPr>
        <w:pStyle w:val="TextBody"/>
        <w:bidi w:val="0"/>
        <w:spacing w:lineRule="auto" w:line="288" w:before="0" w:after="200"/>
        <w:jc w:val="center"/>
        <w:rPr>
          <w:rFonts w:ascii="Times New Roman;sans-serif" w:hAnsi="Times New Roman;sans-serif"/>
          <w:b w:val="false"/>
          <w:color w:val="000000"/>
          <w:sz w:val="24"/>
        </w:rPr>
      </w:pPr>
      <w:r>
        <w:rPr>
          <w:rFonts w:ascii="Times New Roman;sans-serif" w:hAnsi="Times New Roman;sans-serif"/>
          <w:b w:val="false"/>
          <w:color w:val="000000"/>
          <w:sz w:val="24"/>
        </w:rPr>
        <w:t>(Exact name of trustee as specified in its charter)</w:t>
      </w:r>
    </w:p>
    <w:tbl>
      <w:tblPr>
        <w:tblW w:w="6399" w:type="dxa"/>
        <w:jc w:val="left"/>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09"/>
        <w:gridCol w:w="531"/>
        <w:gridCol w:w="531"/>
        <w:gridCol w:w="7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New York</w:t>
              <w:br/>
              <w:t>(Jurisdiction of incorporation</w:t>
              <w:br/>
              <w:t>if not a U.S. national bank)</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13-5160382</w:t>
              <w:br/>
              <w:t>(I.R.S. employer</w:t>
              <w:br/>
              <w:t>identification no.)</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240 Greenwich Street, New York, N.Y.</w:t>
              <w:br/>
              <w:t>(Address of principal executive offices)</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10286</w:t>
              <w:br/>
              <w:t>(Zip code)</w:t>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HOST HOTELS &amp; RESORTS, L.P.</w:t>
      </w:r>
    </w:p>
    <w:p>
      <w:pPr>
        <w:pStyle w:val="TextBody"/>
        <w:bidi w:val="0"/>
        <w:spacing w:lineRule="auto" w:line="288" w:before="0" w:after="120"/>
        <w:jc w:val="center"/>
        <w:rPr>
          <w:rFonts w:ascii="Times New Roman;sans-serif" w:hAnsi="Times New Roman;sans-serif"/>
          <w:b w:val="false"/>
          <w:color w:val="000000"/>
          <w:sz w:val="24"/>
        </w:rPr>
      </w:pPr>
      <w:r>
        <w:rPr>
          <w:rFonts w:ascii="Times New Roman;sans-serif" w:hAnsi="Times New Roman;sans-serif"/>
          <w:b w:val="false"/>
          <w:color w:val="000000"/>
          <w:sz w:val="24"/>
        </w:rPr>
        <w:t>(Exact name of obligor as specified in its charter)</w:t>
      </w:r>
    </w:p>
    <w:tbl>
      <w:tblPr>
        <w:tblW w:w="6309" w:type="dxa"/>
        <w:jc w:val="center"/>
        <w:tblInd w:w="0" w:type="dxa"/>
        <w:tblLayout w:type="fixed"/>
        <w:tblCellMar>
          <w:top w:w="28" w:type="dxa"/>
          <w:left w:w="28" w:type="dxa"/>
          <w:bottom w:w="28" w:type="dxa"/>
          <w:right w:w="28" w:type="dxa"/>
        </w:tblCellMar>
      </w:tblPr>
      <w:tblGrid>
        <w:gridCol w:w="124"/>
        <w:gridCol w:w="109"/>
        <w:gridCol w:w="109"/>
        <w:gridCol w:w="1274"/>
        <w:gridCol w:w="1274"/>
        <w:gridCol w:w="1277"/>
        <w:gridCol w:w="109"/>
        <w:gridCol w:w="109"/>
        <w:gridCol w:w="109"/>
        <w:gridCol w:w="531"/>
        <w:gridCol w:w="531"/>
        <w:gridCol w:w="7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br/>
              <w:t>(State or other jurisdiction of</w:t>
              <w:br/>
              <w:t>incorporation or organization)</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52-2095412</w:t>
              <w:br/>
              <w:t>(I.R.S. employer</w:t>
              <w:br/>
              <w:t>identification no.)</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4747 Bethesda Ave., Suite 1300</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Bethesda, Maryland</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(Address of principal executive offices)</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20814</w:t>
              <w:br/>
              <w:t>(Zip code)</w:t>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Debt Securities</w:t>
      </w:r>
    </w:p>
    <w:p>
      <w:pPr>
        <w:pStyle w:val="TextBody"/>
        <w:bidi w:val="0"/>
        <w:spacing w:lineRule="auto" w:line="288" w:before="0" w:after="120"/>
        <w:jc w:val="center"/>
        <w:rPr>
          <w:rFonts w:ascii="Times New Roman;sans-serif" w:hAnsi="Times New Roman;sans-serif"/>
          <w:b w:val="false"/>
          <w:color w:val="000000"/>
          <w:sz w:val="24"/>
        </w:rPr>
      </w:pPr>
      <w:r>
        <w:rPr>
          <w:rFonts w:ascii="Times New Roman;sans-serif" w:hAnsi="Times New Roman;sans-serif"/>
          <w:b w:val="false"/>
          <w:color w:val="000000"/>
          <w:sz w:val="24"/>
        </w:rPr>
        <w:t>(Title of the indenture securities)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40"/>
        <w:jc w:val="center"/>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1.General information. Furnish the following information as to the Trustee:</w:t>
      </w:r>
    </w:p>
    <w:p>
      <w:pPr>
        <w:pStyle w:val="TextBody"/>
        <w:bidi w:val="0"/>
        <w:spacing w:lineRule="auto" w:line="288"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(a)Name and address of each examining or supervising authority to which it is subject.</w:t>
      </w:r>
    </w:p>
    <w:tbl>
      <w:tblPr>
        <w:tblW w:w="10205" w:type="dxa"/>
        <w:jc w:val="left"/>
        <w:tblInd w:w="0" w:type="dxa"/>
        <w:tblLayout w:type="fixed"/>
        <w:tblCellMar>
          <w:top w:w="28" w:type="dxa"/>
          <w:left w:w="28" w:type="dxa"/>
          <w:bottom w:w="28" w:type="dxa"/>
          <w:right w:w="28" w:type="dxa"/>
        </w:tblCellMar>
      </w:tblPr>
      <w:tblGrid>
        <w:gridCol w:w="128"/>
        <w:gridCol w:w="112"/>
        <w:gridCol w:w="112"/>
        <w:gridCol w:w="1645"/>
        <w:gridCol w:w="1645"/>
        <w:gridCol w:w="1697"/>
        <w:gridCol w:w="109"/>
        <w:gridCol w:w="109"/>
        <w:gridCol w:w="109"/>
        <w:gridCol w:w="1458"/>
        <w:gridCol w:w="1270"/>
        <w:gridCol w:w="1811"/>
      </w:tblGrid>
      <w:tr>
        <w:trPr/>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r>
      <w:tr>
        <w:trPr/>
        <w:tc>
          <w:tcPr>
            <w:tcW w:w="352"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9"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Address</w:t>
            </w:r>
          </w:p>
        </w:tc>
      </w:tr>
      <w:tr>
        <w:trPr/>
        <w:tc>
          <w:tcPr>
            <w:tcW w:w="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9"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Superintendent of the Department of Financial Services of the State of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One State Street, New York, N.Y. 10004-1417, and Albany, N.Y. 12223</w:t>
            </w:r>
          </w:p>
        </w:tc>
      </w:tr>
      <w:tr>
        <w:trPr/>
        <w:tc>
          <w:tcPr>
            <w:tcW w:w="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Federal Reserve Bank of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 Liberty Street, New York, N.Y. 10045</w:t>
            </w:r>
          </w:p>
        </w:tc>
      </w:tr>
      <w:tr>
        <w:trPr/>
        <w:tc>
          <w:tcPr>
            <w:tcW w:w="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Federal Deposit Insurance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550 17</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Street, NW</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Washington, D.C. 20429</w:t>
            </w:r>
          </w:p>
        </w:tc>
      </w:tr>
      <w:tr>
        <w:trPr/>
        <w:tc>
          <w:tcPr>
            <w:tcW w:w="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Clearing House Association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100 Broad Street</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New York, N.Y. 10004</w:t>
            </w:r>
          </w:p>
        </w:tc>
      </w:tr>
    </w:tbl>
    <w:p>
      <w:pPr>
        <w:pStyle w:val="TextBody"/>
        <w:bidi w:val="0"/>
        <w:spacing w:lineRule="auto" w:line="288"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(b)Whether it is authorized to exercise corporate trust powers.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Yes.</w:t>
      </w:r>
    </w:p>
    <w:p>
      <w:pPr>
        <w:pStyle w:val="TextBody"/>
        <w:bidi w:val="0"/>
        <w:spacing w:lineRule="auto" w:line="288"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2.Affiliations with Obligor.</w:t>
      </w:r>
    </w:p>
    <w:p>
      <w:pPr>
        <w:pStyle w:val="TextBody"/>
        <w:bidi w:val="0"/>
        <w:spacing w:lineRule="auto" w:line="288" w:before="0" w:after="240"/>
        <w:jc w:val="both"/>
        <w:rPr/>
      </w:pPr>
      <w:r>
        <w:rPr>
          <w:rFonts w:ascii="Times New Roman;sans-serif" w:hAnsi="Times New Roman;sans-serif"/>
          <w:b/>
          <w:color w:val="000000"/>
          <w:sz w:val="24"/>
        </w:rPr>
        <w:t>If the obligor is an affiliate of the trustee, describe each</w:t>
      </w:r>
      <w:r>
        <w:rPr>
          <w:color w:val="000000"/>
        </w:rPr>
        <w:t xml:space="preserve"> </w:t>
      </w:r>
      <w:r>
        <w:rPr>
          <w:rFonts w:ascii="Times New Roman;sans-serif" w:hAnsi="Times New Roman;sans-serif"/>
          <w:b/>
          <w:color w:val="000000"/>
          <w:sz w:val="24"/>
        </w:rPr>
        <w:t xml:space="preserve">such affiliation.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None.</w:t>
      </w:r>
    </w:p>
    <w:p>
      <w:pPr>
        <w:pStyle w:val="TextBody"/>
        <w:bidi w:val="0"/>
        <w:spacing w:lineRule="auto" w:line="288"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 xml:space="preserve">16.List of Exhibits. </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Exhibits identified in parentheses below, on file with the Commission, are incorporated herein by reference as an exhibit hereto, pursuant to Rule 7a-29 under the Trust Indenture Act of 1939 (the "Act").</w:t>
      </w:r>
    </w:p>
    <w:p>
      <w:pPr>
        <w:pStyle w:val="TextBody"/>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w:t>
      </w:r>
    </w:p>
    <w:p>
      <w:pPr>
        <w:pStyle w:val="TextBody"/>
        <w:bidi w:val="0"/>
        <w:spacing w:before="120" w:after="240"/>
        <w:jc w:val="center"/>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- 2 -</w:t>
                      </w:r>
                    </w:p>
                  </w:txbxContent>
                </v:textbox>
                <w10:wrap type="none"/>
              </v:rect>
            </w:pict>
          </mc:Fallback>
        </mc:AlternateConten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4.A copy of the existing By-laws of the Trustee (Exhibit 4 to Form T-1 filed with Registration Statement No. 333-261533).</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6.The consent of the Trustee required by Section 321(b) of the Act (Exhibit 6 to Form T-1 filed with Registration Statement No. 333-229519).</w:t>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7.A copy of the latest report of condition of the Trustee published pursuant to law or to the requirements of its supervising or examining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center"/>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- 3 -</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New York, and State of New York, on the 9th day of June, 2025.</w:t>
      </w:r>
    </w:p>
    <w:tbl>
      <w:tblPr>
        <w:tblW w:w="4885" w:type="dxa"/>
        <w:jc w:val="right"/>
        <w:tblInd w:w="0" w:type="dxa"/>
        <w:tblLayout w:type="fixed"/>
        <w:tblCellMar>
          <w:top w:w="28" w:type="dxa"/>
          <w:left w:w="28" w:type="dxa"/>
          <w:bottom w:w="28" w:type="dxa"/>
          <w:right w:w="28" w:type="dxa"/>
        </w:tblCellMar>
      </w:tblPr>
      <w:tblGrid>
        <w:gridCol w:w="505"/>
        <w:gridCol w:w="443"/>
        <w:gridCol w:w="443"/>
        <w:gridCol w:w="450"/>
        <w:gridCol w:w="450"/>
        <w:gridCol w:w="450"/>
        <w:gridCol w:w="625"/>
        <w:gridCol w:w="625"/>
        <w:gridCol w:w="894"/>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r>
      <w:tr>
        <w:trPr/>
        <w:tc>
          <w:tcPr>
            <w:tcW w:w="48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w:t>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4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Stacey B. Poindexter</w:t>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Stacey B. Poindexter</w:t>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Vice 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7</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- 4 -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Consolidated Report of Condition of</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of 240 Greenwich Street, New York, N.Y. 10286</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And Foreign and Domestic Subsidiaries,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member of the Federal Reserve System, at the close of business March 31, 2025, published in accordance with a call made by the Federal Reserve Bank of this District pursuant to the provisions of the Federal Reserve Act.</w:t>
      </w:r>
    </w:p>
    <w:tbl>
      <w:tblPr>
        <w:tblW w:w="10170" w:type="dxa"/>
        <w:jc w:val="left"/>
        <w:tblInd w:w="0" w:type="dxa"/>
        <w:tblLayout w:type="fixed"/>
        <w:tblCellMar>
          <w:top w:w="28" w:type="dxa"/>
          <w:left w:w="28" w:type="dxa"/>
          <w:bottom w:w="28" w:type="dxa"/>
          <w:right w:w="28" w:type="dxa"/>
        </w:tblCellMar>
      </w:tblPr>
      <w:tblGrid>
        <w:gridCol w:w="2650"/>
        <w:gridCol w:w="2328"/>
        <w:gridCol w:w="2342"/>
        <w:gridCol w:w="835"/>
        <w:gridCol w:w="835"/>
        <w:gridCol w:w="1180"/>
      </w:tblGrid>
      <w:tr>
        <w:trPr/>
        <w:tc>
          <w:tcPr>
            <w:tcW w:w="2650"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ASSETS</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Dollar amounts in thousands</w:t>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Cash and balances due from depository institutions:</w:t>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4"/>
              </w:rPr>
            </w:pPr>
            <w:r>
              <w:rPr>
                <w:rFonts w:ascii="Times New Roman;sans-serif" w:hAnsi="Times New Roman;sans-serif"/>
                <w:b w:val="false"/>
                <w:color w:val="000000"/>
                <w:sz w:val="24"/>
              </w:rPr>
              <w:t>Noninterest-bearing balances and currency and coin</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3,927,000 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4"/>
              </w:rPr>
            </w:pPr>
            <w:r>
              <w:rPr>
                <w:rFonts w:ascii="Times New Roman;sans-serif" w:hAnsi="Times New Roman;sans-serif"/>
                <w:b w:val="false"/>
                <w:color w:val="000000"/>
                <w:sz w:val="24"/>
              </w:rPr>
              <w:t>Interest-bearing balances</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110,444,000 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Securities:</w:t>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4"/>
              </w:rPr>
            </w:pPr>
            <w:r>
              <w:rPr>
                <w:rFonts w:ascii="Times New Roman;sans-serif" w:hAnsi="Times New Roman;sans-serif"/>
                <w:b w:val="false"/>
                <w:color w:val="000000"/>
                <w:sz w:val="24"/>
              </w:rPr>
              <w:t>Held-to-maturity securities</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48,493,000 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4"/>
              </w:rPr>
            </w:pPr>
            <w:r>
              <w:rPr>
                <w:rFonts w:ascii="Times New Roman;sans-serif" w:hAnsi="Times New Roman;sans-serif"/>
                <w:b w:val="false"/>
                <w:color w:val="000000"/>
                <w:sz w:val="24"/>
              </w:rPr>
              <w:t>Available-for-sale debt securities</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96,644,000 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4"/>
              </w:rPr>
            </w:pPr>
            <w:r>
              <w:rPr>
                <w:rFonts w:ascii="Times New Roman;sans-serif" w:hAnsi="Times New Roman;sans-serif"/>
                <w:b w:val="false"/>
                <w:color w:val="000000"/>
                <w:sz w:val="24"/>
              </w:rPr>
              <w:t>Equity securities with readily determinable fair values not held for trading</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4"/>
              </w:rPr>
            </w:pPr>
            <w:r>
              <w:rPr>
                <w:rFonts w:ascii="Times New Roman;sans-serif" w:hAnsi="Times New Roman;sans-serif"/>
                <w:b w:val="false"/>
                <w:color w:val="000000"/>
                <w:sz w:val="24"/>
              </w:rPr>
              <w:t>Federal funds sold and securities purchased under agreements to resell:</w:t>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4"/>
              </w:rPr>
            </w:pPr>
            <w:r>
              <w:rPr>
                <w:rFonts w:ascii="Times New Roman;sans-serif" w:hAnsi="Times New Roman;sans-serif"/>
                <w:b w:val="false"/>
                <w:color w:val="000000"/>
                <w:sz w:val="24"/>
              </w:rPr>
              <w:t>Federal funds sold in domestic offices</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4"/>
              </w:rPr>
            </w:pPr>
            <w:r>
              <w:rPr>
                <w:rFonts w:ascii="Times New Roman;sans-serif" w:hAnsi="Times New Roman;sans-serif"/>
                <w:b w:val="false"/>
                <w:color w:val="000000"/>
                <w:sz w:val="24"/>
              </w:rPr>
              <w:t>Securities purchased under agreements to resell</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23,768,000 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Loans and lease financing receivables:</w:t>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4"/>
              </w:rPr>
            </w:pPr>
            <w:r>
              <w:rPr>
                <w:rFonts w:ascii="Times New Roman;sans-serif" w:hAnsi="Times New Roman;sans-serif"/>
                <w:b w:val="false"/>
                <w:color w:val="000000"/>
                <w:sz w:val="24"/>
              </w:rPr>
              <w:t>Loans and leases held for sale</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4"/>
              </w:rPr>
            </w:pPr>
            <w:r>
              <w:rPr>
                <w:rFonts w:ascii="Times New Roman;sans-serif" w:hAnsi="Times New Roman;sans-serif"/>
                <w:b w:val="false"/>
                <w:color w:val="000000"/>
                <w:sz w:val="24"/>
              </w:rPr>
              <w:t>Loans and leases held for investment</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35,999,000 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4"/>
              </w:rPr>
            </w:pPr>
            <w:r>
              <w:rPr>
                <w:rFonts w:ascii="Times New Roman;sans-serif" w:hAnsi="Times New Roman;sans-serif"/>
                <w:b w:val="false"/>
                <w:color w:val="000000"/>
                <w:sz w:val="24"/>
              </w:rPr>
              <w:t>LESS: Allowance for credit losses on loans and leases</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272,000 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4"/>
              </w:rPr>
            </w:pPr>
            <w:r>
              <w:rPr>
                <w:rFonts w:ascii="Times New Roman;sans-serif" w:hAnsi="Times New Roman;sans-serif"/>
                <w:b w:val="false"/>
                <w:color w:val="000000"/>
                <w:sz w:val="24"/>
              </w:rPr>
              <w:t>Loans and leases held for investment, net of allowance</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35,727,000 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Trading assets</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6,238,000 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4"/>
              </w:rPr>
            </w:pPr>
            <w:r>
              <w:rPr>
                <w:rFonts w:ascii="Times New Roman;sans-serif" w:hAnsi="Times New Roman;sans-serif"/>
                <w:b w:val="false"/>
                <w:color w:val="000000"/>
                <w:sz w:val="24"/>
              </w:rPr>
              <w:t>Premises and fixed assets (including right-of-use assets)</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2,907,000 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Other real estate owned</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4"/>
              </w:rPr>
            </w:pPr>
            <w:r>
              <w:rPr>
                <w:rFonts w:ascii="Times New Roman;sans-serif" w:hAnsi="Times New Roman;sans-serif"/>
                <w:b w:val="false"/>
                <w:color w:val="000000"/>
                <w:sz w:val="24"/>
              </w:rPr>
              <w:t>Investments in unconsolidated subsidiaries and associated companies</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1,986,000 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Direct and indirect investments in real estate ventures </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Intangible assets</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7,338,000 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Other assets</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18,790,000 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Total assets</w:t>
            </w:r>
          </w:p>
        </w:tc>
        <w:tc>
          <w:tcPr>
            <w:tcW w:w="16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356,262,000 </w:t>
            </w:r>
          </w:p>
        </w:tc>
        <w:tc>
          <w:tcPr>
            <w:tcW w:w="1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LIABILITIES</w:t>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Deposits:</w:t>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4"/>
              </w:rPr>
            </w:pPr>
            <w:r>
              <w:rPr>
                <w:rFonts w:ascii="Times New Roman;sans-serif" w:hAnsi="Times New Roman;sans-serif"/>
                <w:b w:val="false"/>
                <w:color w:val="000000"/>
                <w:sz w:val="24"/>
              </w:rPr>
              <w:t>In domestic offices</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202,806,000 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4"/>
              </w:rPr>
            </w:pPr>
            <w:r>
              <w:rPr>
                <w:rFonts w:ascii="Times New Roman;sans-serif" w:hAnsi="Times New Roman;sans-serif"/>
                <w:b w:val="false"/>
                <w:color w:val="000000"/>
                <w:sz w:val="24"/>
              </w:rPr>
              <w:t>Noninterest-bearing</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54,490,000 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4"/>
              </w:rPr>
            </w:pPr>
            <w:r>
              <w:rPr>
                <w:rFonts w:ascii="Times New Roman;sans-serif" w:hAnsi="Times New Roman;sans-serif"/>
                <w:b w:val="false"/>
                <w:color w:val="000000"/>
                <w:sz w:val="24"/>
              </w:rPr>
              <w:t>Interest-bearing</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148,316,000 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4"/>
              </w:rPr>
            </w:pPr>
            <w:r>
              <w:rPr>
                <w:rFonts w:ascii="Times New Roman;sans-serif" w:hAnsi="Times New Roman;sans-serif"/>
                <w:b w:val="false"/>
                <w:color w:val="000000"/>
                <w:sz w:val="24"/>
              </w:rPr>
              <w:t>In foreign offices, Edge and Agreement subsidiaries, and IBFs</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107,974,000 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4"/>
              </w:rPr>
            </w:pPr>
            <w:r>
              <w:rPr>
                <w:rFonts w:ascii="Times New Roman;sans-serif" w:hAnsi="Times New Roman;sans-serif"/>
                <w:b w:val="false"/>
                <w:color w:val="000000"/>
                <w:sz w:val="24"/>
              </w:rPr>
              <w:t>Noninterest-bearing</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3,891,000 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4"/>
              </w:rPr>
            </w:pPr>
            <w:r>
              <w:rPr>
                <w:rFonts w:ascii="Times New Roman;sans-serif" w:hAnsi="Times New Roman;sans-serif"/>
                <w:b w:val="false"/>
                <w:color w:val="000000"/>
                <w:sz w:val="24"/>
              </w:rPr>
              <w:t>Interest-bearing</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104,083,000 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Federal funds purchased and securities sold under agreements to repurchase:</w:t>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Federal funds purchased in domestic offices </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4"/>
              </w:rPr>
            </w:pPr>
            <w:r>
              <w:rPr>
                <w:rFonts w:ascii="Times New Roman;sans-serif" w:hAnsi="Times New Roman;sans-serif"/>
                <w:b w:val="false"/>
                <w:color w:val="000000"/>
                <w:sz w:val="24"/>
              </w:rPr>
              <w:t>Securities sold under agreements to repurchase</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2,958,000 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Trading liabilities</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1,927,000 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Other borrowed money: </w:t>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(includes mortgage indebtedness)</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3,881,000 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Not applicable</w:t>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Not applicable</w:t>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Subordinated notes and debentures</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Other liabilities</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7,044,000 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Total liabilities</w:t>
            </w:r>
          </w:p>
        </w:tc>
        <w:tc>
          <w:tcPr>
            <w:tcW w:w="16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326,590,000 </w:t>
            </w:r>
          </w:p>
        </w:tc>
        <w:tc>
          <w:tcPr>
            <w:tcW w:w="1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EQUITY CAPITAL</w:t>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Perpetual preferred stock and related surplus</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Common stock</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1,135,000 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Surplus (exclude all surplus related to preferred stock)</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12,669,000 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Retained earnings</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18,503,000 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Accumulated other comprehensive income</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-2,635,000 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Other equity capital components</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Total bank equity capital</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29,672,000 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Noncontrolling (minority) interests in consolidated subsidiaries</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Total equity capital</w:t>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29,672,000 </w:t>
            </w:r>
          </w:p>
        </w:tc>
        <w:tc>
          <w:tcPr>
            <w:tcW w:w="1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Total liabilities and equity capital</w:t>
            </w:r>
          </w:p>
        </w:tc>
        <w:tc>
          <w:tcPr>
            <w:tcW w:w="167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356,262,000 </w:t>
            </w:r>
          </w:p>
        </w:tc>
        <w:tc>
          <w:tcPr>
            <w:tcW w:w="1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Dermot McDonogh, Chief Financial Officer of the above-named bank do hereby declare that this Report of Condition is true and correct to the best of my knowledge and belief.</w:t>
      </w:r>
    </w:p>
    <w:p>
      <w:pPr>
        <w:pStyle w:val="TextBody"/>
        <w:bidi w:val="0"/>
        <w:spacing w:lineRule="auto" w:line="288" w:before="0" w:after="0"/>
        <w:ind w:left="0" w:right="0" w:firstLine="1440"/>
        <w:jc w:val="right"/>
        <w:rPr>
          <w:rFonts w:ascii="Times New Roman;sans-serif" w:hAnsi="Times New Roman;sans-serif"/>
          <w:b w:val="false"/>
          <w:color w:val="000000"/>
          <w:sz w:val="24"/>
        </w:rPr>
      </w:pPr>
      <w:r>
        <w:rPr>
          <w:rFonts w:ascii="Times New Roman;sans-serif" w:hAnsi="Times New Roman;sans-serif"/>
          <w:b w:val="false"/>
          <w:color w:val="000000"/>
          <w:sz w:val="24"/>
        </w:rPr>
        <w:t>Dermot McDonogh</w:t>
      </w:r>
    </w:p>
    <w:p>
      <w:pPr>
        <w:pStyle w:val="TextBody"/>
        <w:bidi w:val="0"/>
        <w:spacing w:lineRule="auto" w:line="288"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Chief Financial Officer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tbl>
      <w:tblPr>
        <w:tblW w:w="3730" w:type="dxa"/>
        <w:jc w:val="left"/>
        <w:tblInd w:w="0" w:type="dxa"/>
        <w:tblLayout w:type="fixed"/>
        <w:tblCellMar>
          <w:top w:w="28" w:type="dxa"/>
          <w:left w:w="28" w:type="dxa"/>
          <w:bottom w:w="28" w:type="dxa"/>
          <w:right w:w="28" w:type="dxa"/>
        </w:tblCellMar>
      </w:tblPr>
      <w:tblGrid>
        <w:gridCol w:w="742"/>
        <w:gridCol w:w="655"/>
        <w:gridCol w:w="658"/>
        <w:gridCol w:w="109"/>
        <w:gridCol w:w="109"/>
        <w:gridCol w:w="109"/>
        <w:gridCol w:w="325"/>
        <w:gridCol w:w="325"/>
        <w:gridCol w:w="326"/>
        <w:gridCol w:w="109"/>
        <w:gridCol w:w="109"/>
        <w:gridCol w:w="154"/>
      </w:tblGrid>
      <w:tr>
        <w:trPr/>
        <w:tc>
          <w:tcPr>
            <w:tcW w:w="74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Robin A. Vince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Directors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Jeffrey A. Goldstein</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Joseph J. Echevarria</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7660"/>
                <wp:effectExtent l="0" t="0" r="0" b="0"/>
                <wp:wrapNone/>
                <wp:docPr id="46" name="Frame4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070750/000107075025000071/hst-20241231.htm" TargetMode="External"/><Relationship Id="rId4" Type="http://schemas.openxmlformats.org/officeDocument/2006/relationships/hyperlink" Target="https://www.sec.gov/ix?doc=/Archives/edgar/data/0001070750/000107075025000071/hst-20241231.htm" TargetMode="External"/><Relationship Id="rId5" Type="http://schemas.openxmlformats.org/officeDocument/2006/relationships/hyperlink" Target="https://www.sec.gov/ix?doc=/Archives/edgar/data/0001070750/000107075025000071/hst-20241231.htm" TargetMode="External"/><Relationship Id="rId6" Type="http://schemas.openxmlformats.org/officeDocument/2006/relationships/hyperlink" Target="https://www.sec.gov/ix?doc=/Archives/edgar/data/0001070750/000107075025000071/hst-20241231.htm" TargetMode="External"/><Relationship Id="rId7" Type="http://schemas.openxmlformats.org/officeDocument/2006/relationships/hyperlink" Target="https://www.sec.gov/ix?doc=/Archives/edgar/data/0001070750/000107075025000079/hst-20250402.htm" TargetMode="External"/><Relationship Id="rId8" Type="http://schemas.openxmlformats.org/officeDocument/2006/relationships/hyperlink" Target="https://www.sec.gov/ix?doc=/Archives/edgar/data/0001070750/000107075025000079/hst-20250402.htm" TargetMode="External"/><Relationship Id="rId9" Type="http://schemas.openxmlformats.org/officeDocument/2006/relationships/hyperlink" Target="https://www.sec.gov/ix?doc=/Archives/edgar/data/0001070750/000107075025000079/hst-20250402.htm" TargetMode="External"/><Relationship Id="rId10" Type="http://schemas.openxmlformats.org/officeDocument/2006/relationships/hyperlink" Target="https://www.sec.gov/ix?doc=/Archives/edgar/data/0001070750/000107075025000079/hst-20250402.htm" TargetMode="External"/><Relationship Id="rId11" Type="http://schemas.openxmlformats.org/officeDocument/2006/relationships/hyperlink" Target="https://www.sec.gov/ix?doc=/Archives/edgar/data/0001070750/000107075025000097/hst-20250331.htm" TargetMode="External"/><Relationship Id="rId12" Type="http://schemas.openxmlformats.org/officeDocument/2006/relationships/hyperlink" Target="https://www.sec.gov/ix?doc=/Archives/edgar/data/0001070750/000162828025023791/hst-20250506.htm" TargetMode="External"/><Relationship Id="rId13" Type="http://schemas.openxmlformats.org/officeDocument/2006/relationships/hyperlink" Target="https://www.sec.gov/ix?doc=/Archives/edgar/data/0001070750/000162828025023791/hst-20250506.htm" TargetMode="External"/><Relationship Id="rId14" Type="http://schemas.openxmlformats.org/officeDocument/2006/relationships/hyperlink" Target="https://www.sec.gov/ix?doc=/Archives/edgar/data/0001070750/000162828025026857/hst-20250520.htm" TargetMode="External"/><Relationship Id="rId15" Type="http://schemas.openxmlformats.org/officeDocument/2006/relationships/hyperlink" Target="https://www.sec.gov/ix?doc=/Archives/edgar/data/0001070750/000162828025026857/hst-20250520.htm" TargetMode="External"/><Relationship Id="rId16" Type="http://schemas.openxmlformats.org/officeDocument/2006/relationships/hyperlink" Target="https://www.sec.gov/Archives/edgar/data/1061937/000119312515191992/d926622dex41.htm" TargetMode="External"/><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3.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18558</Words>
  <Characters>98534</Characters>
  <CharactersWithSpaces>116677</CharactersWithSpaces>
  <Paragraphs>800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