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333-278572</w:t>
      </w:r>
    </w:p>
    <w:p>
      <w:pPr>
        <w:spacing w:after="0" w:line="9" w:lineRule="exact"/>
        <w:rPr>
          <w:sz w:val="24"/>
          <w:szCs w:val="24"/>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b w:val="1"/>
          <w:bCs w:val="1"/>
          <w:u w:val="single" w:color="auto"/>
          <w:color w:val="auto"/>
        </w:rPr>
        <w:t>P R O S P E C T U S</w:t>
      </w:r>
      <w:r>
        <w:rPr>
          <w:sz w:val="20"/>
          <w:szCs w:val="20"/>
          <w:color w:val="auto"/>
        </w:rPr>
        <w:tab/>
      </w:r>
      <w:r>
        <w:rPr>
          <w:rFonts w:ascii="Times New Roman" w:cs="Times New Roman" w:eastAsia="Times New Roman" w:hAnsi="Times New Roman"/>
          <w:sz w:val="17"/>
          <w:szCs w:val="17"/>
          <w:b w:val="1"/>
          <w:bCs w:val="1"/>
          <w:u w:val="single" w:color="auto"/>
          <w:color w:val="auto"/>
        </w:rPr>
        <w:t>S U P P L E M E N 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17, 2024)</w:t>
      </w:r>
    </w:p>
    <w:p>
      <w:pPr>
        <w:spacing w:after="0" w:line="9"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15240</wp:posOffset>
            </wp:positionV>
            <wp:extent cx="1080135"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135" cy="7543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Host Hotels &amp; Resorts, L.P.</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5.700% Series M Senior Notes due 2032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71120</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77" w:lineRule="exact"/>
        <w:rPr>
          <w:sz w:val="24"/>
          <w:szCs w:val="24"/>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are offering $500 million aggregate principal amount of 5.700% Series M senior notes due 2032. We will pay interest on the Series M senior notes semi-annually in arrears on June 15 and December 15 of each year, commencing December 15, 2025. The Series M senior notes will mature on June 15, 2032. We have the option to redeem the Series M senior notes in whole or in part at the applicable redemption price described under the caption “Description of Series M Senior Notes—Optional Redemption” in this prospectus supplement.</w:t>
      </w:r>
    </w:p>
    <w:p>
      <w:pPr>
        <w:spacing w:after="0" w:line="18"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Series M senior notes will be our senior unsecured obligations and will rank equally in right of payment with all of our existing and future senior unsecured indebtedness. The Series M senior notes and the Existing Senior Notes (as defined herein) will be effectively subordinated to all of our existing and future secured indebtedness, to the extent of the value of the collateral securing such indebtedness, and to the indebtedness of our subsidiaries. See “Description of Series M Senior Notes—Ranking” in this prospectus supplement.</w:t>
      </w:r>
    </w:p>
    <w:p>
      <w:pPr>
        <w:spacing w:after="0" w:line="18" w:lineRule="exact"/>
        <w:rPr>
          <w:sz w:val="24"/>
          <w:szCs w:val="24"/>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Series M senior notes are a new issue of securities with no established trading market. We do not intend to apply for listing of the Series M senior notes on any securities exchange or for inclusion of the Series M senior notes in any automated quotation system.</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Series M senior notes involves risks. See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S-9</w:t>
      </w:r>
      <w:r>
        <w:rPr>
          <w:rFonts w:ascii="Times New Roman" w:cs="Times New Roman" w:eastAsia="Times New Roman" w:hAnsi="Times New Roman"/>
          <w:sz w:val="18"/>
          <w:szCs w:val="18"/>
          <w:b w:val="1"/>
          <w:bCs w:val="1"/>
          <w:color w:val="auto"/>
        </w:rPr>
        <w:t xml:space="preserve">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71120</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97"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Per Note</w:t>
            </w:r>
          </w:p>
        </w:tc>
        <w:tc>
          <w:tcPr>
            <w:tcW w:w="24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8280" w:type="dxa"/>
            <w:vAlign w:val="bottom"/>
            <w:vMerge w:val="restart"/>
          </w:tcPr>
          <w:p>
            <w:pPr>
              <w:spacing w:after="0" w:line="262" w:lineRule="exact"/>
              <w:rPr>
                <w:sz w:val="20"/>
                <w:szCs w:val="20"/>
                <w:color w:val="auto"/>
              </w:rPr>
            </w:pPr>
            <w:r>
              <w:rPr>
                <w:rFonts w:ascii="Times New Roman" w:cs="Times New Roman" w:eastAsia="Times New Roman" w:hAnsi="Times New Roman"/>
                <w:sz w:val="18"/>
                <w:szCs w:val="18"/>
                <w:color w:val="auto"/>
              </w:rPr>
              <w:t>Public offering price</w:t>
            </w:r>
            <w:r>
              <w:rPr>
                <w:rFonts w:ascii="Times New Roman" w:cs="Times New Roman" w:eastAsia="Times New Roman" w:hAnsi="Times New Roman"/>
                <w:sz w:val="23"/>
                <w:szCs w:val="23"/>
                <w:color w:val="auto"/>
                <w:vertAlign w:val="superscript"/>
              </w:rPr>
              <w:t>(1)</w:t>
            </w: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280" w:type="dxa"/>
            <w:vAlign w:val="bottom"/>
            <w:vMerge w:val="continue"/>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98.868 %</w:t>
            </w:r>
          </w:p>
        </w:tc>
        <w:tc>
          <w:tcPr>
            <w:tcW w:w="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494,340,000</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0.625 %</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3,125,000</w:t>
            </w:r>
          </w:p>
        </w:tc>
        <w:tc>
          <w:tcPr>
            <w:tcW w:w="0" w:type="dxa"/>
            <w:vAlign w:val="bottom"/>
          </w:tcPr>
          <w:p>
            <w:pPr>
              <w:spacing w:after="0"/>
              <w:rPr>
                <w:sz w:val="1"/>
                <w:szCs w:val="1"/>
                <w:color w:val="auto"/>
              </w:rPr>
            </w:pPr>
          </w:p>
        </w:tc>
      </w:tr>
      <w:tr>
        <w:trPr>
          <w:trHeight w:val="317"/>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3"/>
                <w:szCs w:val="23"/>
                <w:color w:val="auto"/>
                <w:vertAlign w:val="superscript"/>
              </w:rPr>
              <w:t>(1)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98.243 %</w:t>
            </w:r>
          </w:p>
        </w:tc>
        <w:tc>
          <w:tcPr>
            <w:tcW w:w="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491,215,000</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4"/>
          <w:szCs w:val="24"/>
          <w:color w:val="auto"/>
        </w:rPr>
      </w:pPr>
    </w:p>
    <w:p>
      <w:pPr>
        <w:ind w:left="320" w:hanging="312"/>
        <w:spacing w:after="0"/>
        <w:tabs>
          <w:tab w:leader="none" w:pos="3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from May 20, 2025, if settlement occurs after that date.</w:t>
      </w:r>
    </w:p>
    <w:p>
      <w:pPr>
        <w:spacing w:after="0" w:line="56" w:lineRule="exact"/>
        <w:rPr>
          <w:sz w:val="24"/>
          <w:szCs w:val="24"/>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3"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Series M senior notes will be ready for delivery in book-entry form only through the facilities of The Depository Trust Company for the accounts of its participants, including Euroclear Bank S.A./N.V., as operator of the Euroclear System, and Clearstream Banking,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xml:space="preserve"> on or about May 20, 2025, which is the tenth business day following the date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37465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16" w:lineRule="exact"/>
        <w:rPr>
          <w:sz w:val="24"/>
          <w:szCs w:val="24"/>
          <w:color w:val="auto"/>
        </w:rPr>
      </w:pPr>
    </w:p>
    <w:tbl>
      <w:tblPr>
        <w:tblLayout w:type="fixed"/>
        <w:tblInd w:w="20" w:type="dxa"/>
        <w:tblCellMar>
          <w:top w:w="0" w:type="dxa"/>
          <w:left w:w="0" w:type="dxa"/>
          <w:bottom w:w="0" w:type="dxa"/>
          <w:right w:w="0" w:type="dxa"/>
        </w:tblCellMar>
      </w:tblPr>
      <w:tr>
        <w:trPr>
          <w:trHeight w:val="334"/>
        </w:trPr>
        <w:tc>
          <w:tcPr>
            <w:tcW w:w="324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Morgan Stanley</w:t>
            </w:r>
          </w:p>
        </w:tc>
        <w:tc>
          <w:tcPr>
            <w:tcW w:w="1440" w:type="dxa"/>
            <w:vAlign w:val="bottom"/>
          </w:tcPr>
          <w:p>
            <w:pPr>
              <w:spacing w:after="0"/>
              <w:rPr>
                <w:sz w:val="24"/>
                <w:szCs w:val="24"/>
                <w:color w:val="auto"/>
              </w:rPr>
            </w:pPr>
          </w:p>
        </w:tc>
        <w:tc>
          <w:tcPr>
            <w:tcW w:w="3800" w:type="dxa"/>
            <w:vAlign w:val="bottom"/>
          </w:tcPr>
          <w:p>
            <w:pPr>
              <w:jc w:val="center"/>
              <w:ind w:right="1901"/>
              <w:spacing w:after="0"/>
              <w:rPr>
                <w:sz w:val="20"/>
                <w:szCs w:val="20"/>
                <w:color w:val="auto"/>
              </w:rPr>
            </w:pPr>
            <w:r>
              <w:rPr>
                <w:rFonts w:ascii="Times New Roman" w:cs="Times New Roman" w:eastAsia="Times New Roman" w:hAnsi="Times New Roman"/>
                <w:sz w:val="25"/>
                <w:szCs w:val="25"/>
                <w:b w:val="1"/>
                <w:bCs w:val="1"/>
                <w:color w:val="auto"/>
              </w:rPr>
              <w:t>BofA Securities</w:t>
            </w:r>
          </w:p>
        </w:tc>
        <w:tc>
          <w:tcPr>
            <w:tcW w:w="27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J.P. Morgan</w:t>
            </w:r>
          </w:p>
        </w:tc>
      </w:tr>
      <w:tr>
        <w:trPr>
          <w:trHeight w:val="473"/>
        </w:trPr>
        <w:tc>
          <w:tcPr>
            <w:tcW w:w="324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Wells Fargo Securities</w:t>
            </w:r>
          </w:p>
        </w:tc>
        <w:tc>
          <w:tcPr>
            <w:tcW w:w="5240" w:type="dxa"/>
            <w:vAlign w:val="bottom"/>
            <w:gridSpan w:val="2"/>
          </w:tcPr>
          <w:p>
            <w:pPr>
              <w:jc w:val="center"/>
              <w:ind w:right="441"/>
              <w:spacing w:after="0"/>
              <w:rPr>
                <w:sz w:val="20"/>
                <w:szCs w:val="20"/>
                <w:color w:val="auto"/>
              </w:rPr>
            </w:pPr>
            <w:r>
              <w:rPr>
                <w:rFonts w:ascii="Times New Roman" w:cs="Times New Roman" w:eastAsia="Times New Roman" w:hAnsi="Times New Roman"/>
                <w:sz w:val="25"/>
                <w:szCs w:val="25"/>
                <w:b w:val="1"/>
                <w:bCs w:val="1"/>
                <w:color w:val="auto"/>
              </w:rPr>
              <w:t>Goldman Sachs &amp; Co. LLC</w:t>
            </w:r>
          </w:p>
        </w:tc>
        <w:tc>
          <w:tcPr>
            <w:tcW w:w="272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Truist Securities</w:t>
            </w:r>
          </w:p>
        </w:tc>
      </w:tr>
      <w:tr>
        <w:trPr>
          <w:trHeight w:val="491"/>
        </w:trPr>
        <w:tc>
          <w:tcPr>
            <w:tcW w:w="3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0" w:type="dxa"/>
            <w:vAlign w:val="bottom"/>
          </w:tcPr>
          <w:p>
            <w:pPr>
              <w:jc w:val="center"/>
              <w:ind w:right="1861"/>
              <w:spacing w:after="0"/>
              <w:rPr>
                <w:sz w:val="20"/>
                <w:szCs w:val="20"/>
                <w:color w:val="auto"/>
              </w:rPr>
            </w:pPr>
            <w:r>
              <w:rPr>
                <w:rFonts w:ascii="Times New Roman" w:cs="Times New Roman" w:eastAsia="Times New Roman" w:hAnsi="Times New Roman"/>
                <w:sz w:val="18"/>
                <w:szCs w:val="18"/>
                <w:i w:val="1"/>
                <w:iCs w:val="1"/>
                <w:color w:val="auto"/>
                <w:w w:val="99"/>
              </w:rPr>
              <w:t>Co-Managers</w:t>
            </w:r>
          </w:p>
        </w:tc>
        <w:tc>
          <w:tcPr>
            <w:tcW w:w="2720" w:type="dxa"/>
            <w:vAlign w:val="bottom"/>
          </w:tcPr>
          <w:p>
            <w:pPr>
              <w:spacing w:after="0"/>
              <w:rPr>
                <w:sz w:val="24"/>
                <w:szCs w:val="24"/>
                <w:color w:val="auto"/>
              </w:rPr>
            </w:pPr>
          </w:p>
        </w:tc>
      </w:tr>
      <w:tr>
        <w:trPr>
          <w:trHeight w:val="432"/>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PNC Capital Markets LLC</w:t>
            </w:r>
          </w:p>
        </w:tc>
        <w:tc>
          <w:tcPr>
            <w:tcW w:w="14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Scotiabank</w:t>
            </w:r>
          </w:p>
        </w:tc>
        <w:tc>
          <w:tcPr>
            <w:tcW w:w="3800" w:type="dxa"/>
            <w:vAlign w:val="bottom"/>
          </w:tcPr>
          <w:p>
            <w:pPr>
              <w:ind w:left="1820"/>
              <w:spacing w:after="0"/>
              <w:rPr>
                <w:sz w:val="20"/>
                <w:szCs w:val="20"/>
                <w:color w:val="auto"/>
              </w:rPr>
            </w:pPr>
            <w:r>
              <w:rPr>
                <w:rFonts w:ascii="Times New Roman" w:cs="Times New Roman" w:eastAsia="Times New Roman" w:hAnsi="Times New Roman"/>
                <w:sz w:val="18"/>
                <w:szCs w:val="18"/>
                <w:b w:val="1"/>
                <w:bCs w:val="1"/>
                <w:color w:val="auto"/>
              </w:rPr>
              <w:t>SMBC Nikko</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TD Securities</w:t>
            </w:r>
          </w:p>
        </w:tc>
      </w:tr>
      <w:tr>
        <w:trPr>
          <w:trHeight w:val="37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BNY Mellon Capital Markets, LLC</w:t>
            </w:r>
          </w:p>
        </w:tc>
        <w:tc>
          <w:tcPr>
            <w:tcW w:w="1440" w:type="dxa"/>
            <w:vAlign w:val="bottom"/>
          </w:tcPr>
          <w:p>
            <w:pPr>
              <w:spacing w:after="0"/>
              <w:rPr>
                <w:sz w:val="24"/>
                <w:szCs w:val="24"/>
                <w:color w:val="auto"/>
              </w:rPr>
            </w:pPr>
          </w:p>
        </w:tc>
        <w:tc>
          <w:tcPr>
            <w:tcW w:w="3800" w:type="dxa"/>
            <w:vAlign w:val="bottom"/>
          </w:tcPr>
          <w:p>
            <w:pPr>
              <w:jc w:val="center"/>
              <w:ind w:right="1901"/>
              <w:spacing w:after="0"/>
              <w:rPr>
                <w:sz w:val="20"/>
                <w:szCs w:val="20"/>
                <w:color w:val="auto"/>
              </w:rPr>
            </w:pPr>
            <w:r>
              <w:rPr>
                <w:rFonts w:ascii="Times New Roman" w:cs="Times New Roman" w:eastAsia="Times New Roman" w:hAnsi="Times New Roman"/>
                <w:sz w:val="18"/>
                <w:szCs w:val="18"/>
                <w:b w:val="1"/>
                <w:bCs w:val="1"/>
                <w:color w:val="auto"/>
                <w:w w:val="99"/>
              </w:rPr>
              <w:t>Credit Agricole CIB</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Ramirez &amp; Co., Inc.</w:t>
            </w:r>
          </w:p>
        </w:tc>
      </w:tr>
    </w:tbl>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May 6, 2025</w:t>
      </w:r>
    </w:p>
    <w:p>
      <w:pPr>
        <w:sectPr>
          <w:pgSz w:w="11900" w:h="16838" w:orient="portrait"/>
          <w:cols w:equalWidth="0" w:num="1">
            <w:col w:w="11240"/>
          </w:cols>
          <w:pgMar w:left="320" w:top="1035" w:right="339" w:bottom="1440" w:gutter="0" w:footer="0" w:header="0"/>
        </w:sectPr>
      </w:pPr>
    </w:p>
    <w:bookmarkStart w:id="1" w:name="page2"/>
    <w:bookmarkEnd w:id="1"/>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40" w:type="dxa"/>
            <w:vAlign w:val="bottom"/>
            <w:gridSpan w:val="3"/>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3"/>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8"/>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S-1</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9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500" w:type="dxa"/>
            <w:vAlign w:val="bottom"/>
            <w:gridSpan w:val="3"/>
          </w:tcPr>
          <w:p>
            <w:pPr>
              <w:spacing w:after="0"/>
              <w:rPr>
                <w:sz w:val="22"/>
                <w:szCs w:val="22"/>
                <w:color w:val="auto"/>
              </w:rPr>
            </w:pPr>
          </w:p>
        </w:tc>
        <w:tc>
          <w:tcPr>
            <w:tcW w:w="6920" w:type="dxa"/>
            <w:vAlign w:val="bottom"/>
            <w:gridSpan w:val="5"/>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S-2</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7060" w:type="dxa"/>
            <w:vAlign w:val="bottom"/>
            <w:gridSpan w:val="6"/>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S-5</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40" w:type="dxa"/>
            <w:vAlign w:val="bottom"/>
            <w:gridSpan w:val="11"/>
          </w:tcPr>
          <w:p>
            <w:pPr>
              <w:spacing w:after="0"/>
              <w:rPr>
                <w:sz w:val="22"/>
                <w:szCs w:val="22"/>
                <w:color w:val="auto"/>
              </w:rPr>
            </w:pPr>
          </w:p>
        </w:tc>
        <w:tc>
          <w:tcPr>
            <w:tcW w:w="7060" w:type="dxa"/>
            <w:vAlign w:val="bottom"/>
            <w:gridSpan w:val="6"/>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7"/>
              </w:rPr>
              <w:t>S-9</w:t>
            </w: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S-13</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4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5"/>
              </w:rPr>
              <w:t>CAPITALIZATION</w:t>
            </w:r>
          </w:p>
        </w:tc>
        <w:tc>
          <w:tcPr>
            <w:tcW w:w="120" w:type="dxa"/>
            <w:vAlign w:val="bottom"/>
          </w:tcPr>
          <w:p>
            <w:pPr>
              <w:spacing w:after="0"/>
              <w:rPr>
                <w:sz w:val="22"/>
                <w:szCs w:val="22"/>
                <w:color w:val="auto"/>
              </w:rPr>
            </w:pPr>
          </w:p>
        </w:tc>
        <w:tc>
          <w:tcPr>
            <w:tcW w:w="8780" w:type="dxa"/>
            <w:vAlign w:val="bottom"/>
            <w:gridSpan w:val="13"/>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S-14</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4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DESCRIPTION OF OTHER INDEBTEDNESS</w:t>
            </w:r>
          </w:p>
        </w:tc>
        <w:tc>
          <w:tcPr>
            <w:tcW w:w="6880" w:type="dxa"/>
            <w:vAlign w:val="bottom"/>
            <w:gridSpan w:val="4"/>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S-15</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6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DESCRIPTION OF SERIES M SENIOR NOTES</w:t>
            </w:r>
          </w:p>
        </w:tc>
        <w:tc>
          <w:tcPr>
            <w:tcW w:w="6740" w:type="dxa"/>
            <w:vAlign w:val="bottom"/>
            <w:gridSpan w:val="3"/>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S-19</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562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8"/>
              </w:rPr>
              <w:t>CERTAIN UNITED STATES FEDERAL INCOME TAX CONSEQUENCES</w:t>
            </w:r>
          </w:p>
        </w:tc>
        <w:tc>
          <w:tcPr>
            <w:tcW w:w="474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S-32</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600" w:type="dxa"/>
            <w:vAlign w:val="bottom"/>
            <w:gridSpan w:val="5"/>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4220" w:type="dxa"/>
            <w:vAlign w:val="bottom"/>
            <w:gridSpan w:val="13"/>
          </w:tcPr>
          <w:p>
            <w:pPr>
              <w:spacing w:after="0"/>
              <w:rPr>
                <w:sz w:val="22"/>
                <w:szCs w:val="22"/>
                <w:color w:val="auto"/>
              </w:rPr>
            </w:pPr>
          </w:p>
        </w:tc>
        <w:tc>
          <w:tcPr>
            <w:tcW w:w="474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S-37</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S-43</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22"/>
                <w:szCs w:val="22"/>
                <w:color w:val="auto"/>
              </w:rPr>
            </w:pPr>
          </w:p>
        </w:tc>
        <w:tc>
          <w:tcPr>
            <w:tcW w:w="8900" w:type="dxa"/>
            <w:vAlign w:val="bottom"/>
            <w:gridSpan w:val="14"/>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93"/>
              </w:rPr>
              <w:t>S-43</w:t>
            </w:r>
          </w:p>
        </w:tc>
      </w:tr>
      <w:tr>
        <w:trPr>
          <w:trHeight w:val="20"/>
        </w:trPr>
        <w:tc>
          <w:tcPr>
            <w:tcW w:w="7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72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S-43</w:t>
            </w:r>
          </w:p>
        </w:tc>
      </w:tr>
      <w:tr>
        <w:trPr>
          <w:trHeight w:val="493"/>
        </w:trPr>
        <w:tc>
          <w:tcPr>
            <w:tcW w:w="78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740" w:type="dxa"/>
            <w:vAlign w:val="bottom"/>
            <w:gridSpan w:val="3"/>
          </w:tcPr>
          <w:p>
            <w:pPr>
              <w:jc w:val="center"/>
              <w:ind w:right="278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5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06"/>
        </w:trPr>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280" w:type="dxa"/>
            <w:vAlign w:val="bottom"/>
            <w:gridSpan w:val="3"/>
          </w:tcPr>
          <w:p>
            <w:pPr>
              <w:spacing w:after="0"/>
              <w:rPr>
                <w:sz w:val="2"/>
                <w:szCs w:val="2"/>
                <w:color w:val="auto"/>
              </w:rPr>
            </w:pPr>
          </w:p>
        </w:tc>
        <w:tc>
          <w:tcPr>
            <w:tcW w:w="520" w:type="dxa"/>
            <w:vAlign w:val="bottom"/>
            <w:gridSpan w:val="4"/>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3720" w:type="dxa"/>
            <w:vAlign w:val="bottom"/>
            <w:gridSpan w:val="6"/>
          </w:tcPr>
          <w:p>
            <w:pPr>
              <w:spacing w:after="0"/>
              <w:rPr>
                <w:sz w:val="2"/>
                <w:szCs w:val="2"/>
                <w:color w:val="auto"/>
              </w:rPr>
            </w:pPr>
          </w:p>
        </w:tc>
        <w:tc>
          <w:tcPr>
            <w:tcW w:w="3620" w:type="dxa"/>
            <w:vAlign w:val="bottom"/>
          </w:tcPr>
          <w:p>
            <w:pPr>
              <w:spacing w:after="0"/>
              <w:rPr>
                <w:sz w:val="2"/>
                <w:szCs w:val="2"/>
                <w:color w:val="auto"/>
              </w:rPr>
            </w:pPr>
          </w:p>
        </w:tc>
        <w:tc>
          <w:tcPr>
            <w:tcW w:w="860" w:type="dxa"/>
            <w:vAlign w:val="bottom"/>
            <w:tcBorders>
              <w:bottom w:val="single" w:sz="8" w:color="auto"/>
            </w:tcBorders>
            <w:gridSpan w:val="4"/>
          </w:tcPr>
          <w:p>
            <w:pPr>
              <w:spacing w:after="0"/>
              <w:rPr>
                <w:sz w:val="2"/>
                <w:szCs w:val="2"/>
                <w:color w:val="auto"/>
              </w:rPr>
            </w:pPr>
          </w:p>
        </w:tc>
      </w:tr>
      <w:tr>
        <w:trPr>
          <w:trHeight w:val="223"/>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10"/>
          </w:tcPr>
          <w:p>
            <w:pPr>
              <w:spacing w:after="0"/>
              <w:rPr>
                <w:sz w:val="19"/>
                <w:szCs w:val="19"/>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r>
      <w:tr>
        <w:trPr>
          <w:trHeight w:val="263"/>
        </w:trPr>
        <w:tc>
          <w:tcPr>
            <w:tcW w:w="674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3620" w:type="dxa"/>
            <w:vAlign w:val="bottom"/>
          </w:tcPr>
          <w:p>
            <w:pPr>
              <w:spacing w:after="0"/>
              <w:rPr>
                <w:sz w:val="22"/>
                <w:szCs w:val="22"/>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r>
      <w:tr>
        <w:trPr>
          <w:trHeight w:val="264"/>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THE COMPANY</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r>
      <w:tr>
        <w:trPr>
          <w:trHeight w:val="263"/>
        </w:trPr>
        <w:tc>
          <w:tcPr>
            <w:tcW w:w="12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tcBorders>
          </w:tcPr>
          <w:p>
            <w:pPr>
              <w:spacing w:after="0"/>
              <w:rPr>
                <w:sz w:val="22"/>
                <w:szCs w:val="22"/>
                <w:color w:val="auto"/>
              </w:rPr>
            </w:pPr>
          </w:p>
        </w:tc>
        <w:tc>
          <w:tcPr>
            <w:tcW w:w="9080" w:type="dxa"/>
            <w:vAlign w:val="bottom"/>
            <w:gridSpan w:val="16"/>
          </w:tcPr>
          <w:p>
            <w:pPr>
              <w:spacing w:after="0"/>
              <w:rPr>
                <w:sz w:val="22"/>
                <w:szCs w:val="22"/>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r>
      <w:tr>
        <w:trPr>
          <w:trHeight w:val="26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5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340" w:type="dxa"/>
            <w:vAlign w:val="bottom"/>
            <w:gridSpan w:val="7"/>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r>
      <w:tr>
        <w:trPr>
          <w:trHeight w:val="264"/>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63"/>
        </w:trPr>
        <w:tc>
          <w:tcPr>
            <w:tcW w:w="302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GLOBAL SECURITIES</w:t>
            </w:r>
          </w:p>
        </w:tc>
        <w:tc>
          <w:tcPr>
            <w:tcW w:w="7340" w:type="dxa"/>
            <w:vAlign w:val="bottom"/>
            <w:gridSpan w:val="7"/>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22"/>
                <w:szCs w:val="22"/>
                <w:color w:val="auto"/>
              </w:rPr>
            </w:pPr>
          </w:p>
        </w:tc>
      </w:tr>
      <w:tr>
        <w:trPr>
          <w:trHeight w:val="20"/>
        </w:trPr>
        <w:tc>
          <w:tcPr>
            <w:tcW w:w="1800" w:type="dxa"/>
            <w:vAlign w:val="bottom"/>
            <w:gridSpan w:val="7"/>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00" w:type="dxa"/>
            <w:vAlign w:val="bottom"/>
            <w:gridSpan w:val="11"/>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8300" w:type="dxa"/>
            <w:vAlign w:val="bottom"/>
            <w:gridSpan w:val="11"/>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22"/>
                <w:szCs w:val="22"/>
                <w:color w:val="auto"/>
              </w:rPr>
            </w:pPr>
          </w:p>
        </w:tc>
      </w:tr>
      <w:tr>
        <w:trPr>
          <w:trHeight w:val="263"/>
        </w:trPr>
        <w:tc>
          <w:tcPr>
            <w:tcW w:w="103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r>
      <w:tr>
        <w:trPr>
          <w:trHeight w:val="263"/>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22"/>
                <w:szCs w:val="22"/>
                <w:color w:val="auto"/>
              </w:rPr>
            </w:pPr>
          </w:p>
        </w:tc>
        <w:tc>
          <w:tcPr>
            <w:tcW w:w="8900" w:type="dxa"/>
            <w:vAlign w:val="bottom"/>
            <w:gridSpan w:val="14"/>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2"/>
                <w:szCs w:val="22"/>
                <w:color w:val="auto"/>
              </w:rPr>
            </w:pPr>
          </w:p>
        </w:tc>
      </w:tr>
    </w:tbl>
    <w:p>
      <w:pPr>
        <w:spacing w:after="0" w:line="2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the accompanying prospectus and any applicable free writing prospectus. We have not, and the underwriters have not, authorized any other person to provide you with additional or different information.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any applicable free writing prospectus and the documents incorporated by reference is accurate only as of their respective dates. Our business, financial condition, results of operations and prospects may have changed since those dates.</w:t>
      </w:r>
    </w:p>
    <w:p>
      <w:pPr>
        <w:spacing w:after="0" w:line="13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registered trademarks, service marks and brand names that are the exclusive property of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18"/>
          <w:szCs w:val="18"/>
          <w:color w:val="auto"/>
        </w:rPr>
        <w:t>respective owners, which are companies other than us, including 1 Hotels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Alila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Andaz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Fairmont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Four Seasons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Grand Hyatt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JW Marriott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Ritz-Carlton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St. Regis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Don Cesar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Luxury Collection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Autograph Collection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Curio – A Collection by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Embassy Suites by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Hyatt Regency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 Marquis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Sheraton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Swissôtel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Tribute Portfolio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Westin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None of the owners of these trademarks, service marks or brand names, their affiliates or any of their respective officers, directors, agents or employees, is an issuer or underwriter of the debt securities being offered hereby. In addition, none of such persons has or will have any responsibility or liability for any information contained in this prospectus supplement, the accompanying prospectus or the documents incorporated by reference herein and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60"/>
          </w:cols>
          <w:pgMar w:left="320" w:top="1440" w:right="419" w:bottom="1440" w:gutter="0" w:footer="0" w:header="0"/>
        </w:sectPr>
      </w:pPr>
    </w:p>
    <w:bookmarkStart w:id="3" w:name="page4"/>
    <w:bookmarkEnd w:id="3"/>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along with the accompanying prospectus, as well as the information incorporated by reference herein and therein, carefully before you invest in our Series M senior notes. These documents contain important information you should consider before making your investment decision. This prospectus supplement describes the terms of the offer and sale of the Series M senior notes. The accompanying prospectus contains information about our debt securities generally.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1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this prospectus supplement otherwise indicates or the context otherwise requires, references to “Host Inc.” mean Host Hotels &amp; Resorts, Inc. and references to “Host L.P.” mean Host Hotels &amp; Resorts, L.P. in cases where it is important to distinguish between Host Inc. and Host L.P. We use the terms “we,” “our” or “the company” to refer to Host Inc. and Host L.P. together, along with Host L.P.’s consolidated subsidiaries, unless the context indicates otherwise. Host Inc. and Host L.P. file combined periodic reports with the Securities and Exchange Commission (the “</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certain of which are incorporated by reference herein. When we refer to “you,” we mean the potential holders of the Series M senior notes. References to “Existing Senior Notes” herein include our Series E, Series F, Series H, Series I, Series J, Series K and Series L senior notes currently outstanding. The Series M senior notes offered hereby will be issued pursuant to an indenture dated as of May 15, 2015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References to “senior notes” herein include the Existing Senior Notes, the Series M senior notes offered hereby and any future senior notes that we may issue under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60"/>
          </w:cols>
          <w:pgMar w:left="320" w:top="1440" w:right="419" w:bottom="1440" w:gutter="0" w:footer="0" w:header="0"/>
        </w:sectPr>
      </w:pPr>
    </w:p>
    <w:bookmarkStart w:id="4" w:name="page5"/>
    <w:bookmarkEnd w:id="4"/>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Information included and incorporated by reference in this prospectus supplement and the accompanying prospectus contains forward-looking statements that relate to our future performance and plans, results of operations, capital expenditures, acquisitions, dispositions and operating costs. These forward-looking statements are identified by their use of terms and phrases such as “anticipate,” “believe,” “could,” “expect,” “may,” “intend,” “predict,” “project,” “plan,” “will,” “estimate” and other similar terms and phrases, including references to assumptions and forecasts of future results. Forward-looking statements are based on management’s current expectations and assumptions and are not guarantees of future performance. Forward-looking statements involve known and unknown risks, uncertainties and other factors which may cause our actual results to differ materially from those anticipated at the time the forward-looking statements are made.</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and future events to differ materially from those set forth or contemplated in the forward-looking statements:</w:t>
      </w:r>
    </w:p>
    <w:p>
      <w:pPr>
        <w:spacing w:after="0" w:line="108" w:lineRule="exact"/>
        <w:rPr>
          <w:sz w:val="20"/>
          <w:szCs w:val="20"/>
          <w:color w:val="auto"/>
        </w:rPr>
      </w:pPr>
    </w:p>
    <w:p>
      <w:pPr>
        <w:ind w:left="660" w:right="20" w:hanging="328"/>
        <w:spacing w:after="0" w:line="254"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lodging demand of (i) changes in national and local economic and business conditions, including concerns about U.S. economic growth and the potential for an economic recession in the United States or globally, including as a result of recent economic uncertainty due to trade disputes, tariffs and other trade protection measures, the recent high level of inflation, elevated interest rates, global economic prospects, consumer confidence and the value of the U.S. dollar, and (ii) factors that may shape public perception of travel to a particular location, including natural disasters, such as the Maui wildfires in 2023, and the Southern California wildfires in 2025, adverse weather events, such as Hurricane Ian in 2022 and Hurricanes Helene and Milton in 2024, or extreme precipitation, pandemics and other public health crises, such as the COVID-19 pandemic, and the occurrence or potential occurrence of terrorist attacks, all of which will affect occupancy rates at our hotels and the demand for hotel products and services;</w:t>
      </w:r>
    </w:p>
    <w:p>
      <w:pPr>
        <w:spacing w:after="0" w:line="137" w:lineRule="exact"/>
        <w:rPr>
          <w:rFonts w:ascii="Times New Roman" w:cs="Times New Roman" w:eastAsia="Times New Roman" w:hAnsi="Times New Roman"/>
          <w:sz w:val="18"/>
          <w:szCs w:val="18"/>
          <w:color w:val="auto"/>
        </w:rPr>
      </w:pPr>
    </w:p>
    <w:p>
      <w:pPr>
        <w:jc w:val="both"/>
        <w:ind w:left="660" w:right="5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U.S. immigration policies and border closings, visa processing times, travel restrictions or advisories, changes in energy prices or changes in foreign exchange rates will suppress international travel to the United States generally or decrease the labor pool, and risks that international U.S. outbound travel may remain elevated relative to historic levels;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developments outside the United States, such as large-scale wars or international conflicts, slowing global growth, or trade disputes, tariffs or other trade protection measures between the United States and its trading partners, all of which could cause economic volatility and affect global travel and lodging demand within the United States or result in supply chain disruptions;</w:t>
      </w:r>
    </w:p>
    <w:p>
      <w:pPr>
        <w:spacing w:after="0" w:line="12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global financial and credit markets, which could materially adversely affect U.S. and global economic conditions, business activity and lodging demand as well as negatively impact our ability to obtain financing and increase our borrowing costs;</w:t>
      </w:r>
    </w:p>
    <w:p>
      <w:pPr>
        <w:spacing w:after="0" w:line="107"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U.S. governmental action to address budget deficits through reductions in spending and similar austerity measures, as well as the impact of potential U.S. government shutdowns, all of which could materially adversely affect U.S. economic conditions, business activity, credit availability and borrowing costs;</w:t>
      </w:r>
    </w:p>
    <w:p>
      <w:pPr>
        <w:spacing w:after="0" w:line="121"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risks associated with the hotel business, including the effect of labor stoppages or strikes, increasing operating or labor costs, including increased labor costs in the recent inflationary environment, the ability of our managers to adequately staff our hotels as a result of shortages in labor, changes in immigration laws or their enforcement, and severance and furlough payments to hotel employees or changes in workplace rules that affect labor costs;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rating agency downgrades of our debt securities on the cost and availability of new debt financings;</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our operating flexibility and the limitation on our ability to incur debt, pay dividends and make distributions resulting from restrictive covenants in our debt agreements and other risks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180"/>
          </w:cols>
          <w:pgMar w:left="320" w:top="1440" w:right="399" w:bottom="1440" w:gutter="0" w:footer="0" w:header="0"/>
        </w:sectPr>
      </w:pPr>
    </w:p>
    <w:bookmarkStart w:id="5" w:name="page6"/>
    <w:bookmarkEnd w:id="5"/>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with the amount of our indebtedness or related to restrictive covenants in our debt agreements, including the risk that a default could occur;</w:t>
      </w:r>
    </w:p>
    <w:p>
      <w:pPr>
        <w:spacing w:after="0" w:line="171" w:lineRule="exact"/>
        <w:rPr>
          <w:sz w:val="20"/>
          <w:szCs w:val="20"/>
          <w:color w:val="auto"/>
        </w:rPr>
      </w:pPr>
    </w:p>
    <w:p>
      <w:pPr>
        <w:ind w:left="328" w:right="54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hotels in a first-class manner, including meeting capital expenditures requirements, and the effect of renovations, including temporary closures, on our hotel occupancy and financial results;</w:t>
      </w:r>
    </w:p>
    <w:p>
      <w:pPr>
        <w:spacing w:after="0" w:line="107" w:lineRule="exact"/>
        <w:rPr>
          <w:rFonts w:ascii="Times New Roman" w:cs="Times New Roman" w:eastAsia="Times New Roman" w:hAnsi="Times New Roman"/>
          <w:sz w:val="18"/>
          <w:szCs w:val="18"/>
          <w:color w:val="auto"/>
        </w:rPr>
      </w:pPr>
    </w:p>
    <w:p>
      <w:pPr>
        <w:ind w:left="328" w:right="32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hotels to compete effectively against other lodging businesses in the highly competitive markets in which we operate in areas such as access, location, quality of accommodations and room rate structures;</w:t>
      </w:r>
    </w:p>
    <w:p>
      <w:pPr>
        <w:spacing w:after="0" w:line="107"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or develop additional hotels and the risk that potential acquisitions or developments may not perform in accordance with our expectations;</w:t>
      </w:r>
    </w:p>
    <w:p>
      <w:pPr>
        <w:spacing w:after="0" w:line="107"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complete hotel renovations on schedule and on, or under, budget and the potential for increased costs and construction delays due to shortages of supplies as a result of supply chain disruptions;</w:t>
      </w:r>
    </w:p>
    <w:p>
      <w:pPr>
        <w:spacing w:after="0" w:line="107"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property managers and joint venture partners and our ability to realize the expected benefits of our joint ventures and other strategic relationships;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a single manager, Marriott International, managing a significant percentage of our hotels;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desirability of the geographic regions of the hotels in our portfolio or in the travel patterns of hotel customers;</w:t>
      </w:r>
    </w:p>
    <w:p>
      <w:pPr>
        <w:spacing w:after="0" w:line="171" w:lineRule="exact"/>
        <w:rPr>
          <w:rFonts w:ascii="Times New Roman" w:cs="Times New Roman" w:eastAsia="Times New Roman" w:hAnsi="Times New Roman"/>
          <w:sz w:val="18"/>
          <w:szCs w:val="18"/>
          <w:color w:val="auto"/>
        </w:rPr>
      </w:pPr>
    </w:p>
    <w:p>
      <w:pPr>
        <w:ind w:left="328" w:right="20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the frequency of business travel that may result from hybrid or remote work environments and other changes to business operations such as alternatives to in-person meetings, including virtual meetings hosted online or over private teleconferencing networks;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competition from third-party internet travel intermediaries in attracting and retaining customers which compete with our hotels;</w:t>
      </w:r>
    </w:p>
    <w:p>
      <w:pPr>
        <w:spacing w:after="0" w:line="171" w:lineRule="exact"/>
        <w:rPr>
          <w:rFonts w:ascii="Times New Roman" w:cs="Times New Roman" w:eastAsia="Times New Roman" w:hAnsi="Times New Roman"/>
          <w:sz w:val="18"/>
          <w:szCs w:val="18"/>
          <w:color w:val="auto"/>
        </w:rPr>
      </w:pPr>
    </w:p>
    <w:p>
      <w:pPr>
        <w:ind w:left="328" w:right="16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fully under our existing insurance policies for terrorist acts and natural disasters and our ability to maintain adequate or full replacement cost “all-risk” property insurance policies on our hotels on commercially reasonable terms;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 data breach or significant disruption of hotel operator information technology networks as a result of cyber-attacks;</w:t>
      </w:r>
    </w:p>
    <w:p>
      <w:pPr>
        <w:spacing w:after="0" w:line="171"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tax legislative action and other changes in laws and regulations, or the interpretation thereof, including the need for compliance with new environmental and safety requirements;</w:t>
      </w:r>
    </w:p>
    <w:p>
      <w:pPr>
        <w:spacing w:after="0" w:line="107" w:lineRule="exact"/>
        <w:rPr>
          <w:rFonts w:ascii="Times New Roman" w:cs="Times New Roman" w:eastAsia="Times New Roman" w:hAnsi="Times New Roman"/>
          <w:sz w:val="18"/>
          <w:szCs w:val="18"/>
          <w:color w:val="auto"/>
        </w:rPr>
      </w:pPr>
    </w:p>
    <w:p>
      <w:pPr>
        <w:ind w:left="328" w:hanging="328"/>
        <w:spacing w:after="0" w:line="282"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taxes and government regulations that influence or set wages, hotel employee health care costs, prices, interest rates or construction and maintenance procedures and costs;</w:t>
      </w:r>
    </w:p>
    <w:p>
      <w:pPr>
        <w:spacing w:after="0" w:line="105" w:lineRule="exact"/>
        <w:rPr>
          <w:rFonts w:ascii="Times New Roman" w:cs="Times New Roman" w:eastAsia="Times New Roman" w:hAnsi="Times New Roman"/>
          <w:sz w:val="18"/>
          <w:szCs w:val="18"/>
          <w:color w:val="auto"/>
        </w:rPr>
      </w:pPr>
    </w:p>
    <w:p>
      <w:pPr>
        <w:ind w:left="328" w:right="80" w:hanging="328"/>
        <w:spacing w:after="0" w:line="290" w:lineRule="auto"/>
        <w:tabs>
          <w:tab w:leader="none" w:pos="323"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Host Inc. and each of the real estate investment trusts (“</w:t>
      </w:r>
      <w:r>
        <w:rPr>
          <w:rFonts w:ascii="Times New Roman" w:cs="Times New Roman" w:eastAsia="Times New Roman" w:hAnsi="Times New Roman"/>
          <w:sz w:val="17"/>
          <w:szCs w:val="17"/>
          <w:i w:val="1"/>
          <w:iCs w:val="1"/>
          <w:color w:val="auto"/>
        </w:rPr>
        <w:t>REITs</w:t>
      </w:r>
      <w:r>
        <w:rPr>
          <w:rFonts w:ascii="Times New Roman" w:cs="Times New Roman" w:eastAsia="Times New Roman" w:hAnsi="Times New Roman"/>
          <w:sz w:val="17"/>
          <w:szCs w:val="17"/>
          <w:color w:val="auto"/>
        </w:rPr>
        <w:t>”) acquired, established or to be established by Host Inc. to continue to satisfy complex rules in order to qualify as REITs for U.S. federal income tax purposes and Host Inc.’s and Host L.P.’s ability and the ability of our subsidiaries, and similar entities to be acquired or established by us, to operate effectively within the limitations imposed by these rules; and</w:t>
      </w:r>
    </w:p>
    <w:p>
      <w:pPr>
        <w:spacing w:after="0" w:line="103" w:lineRule="exact"/>
        <w:rPr>
          <w:rFonts w:ascii="Times New Roman" w:cs="Times New Roman" w:eastAsia="Times New Roman" w:hAnsi="Times New Roman"/>
          <w:sz w:val="17"/>
          <w:szCs w:val="17"/>
          <w:color w:val="auto"/>
        </w:rPr>
      </w:pPr>
    </w:p>
    <w:p>
      <w:pPr>
        <w:ind w:left="328" w:right="100" w:hanging="328"/>
        <w:spacing w:after="0" w:line="266" w:lineRule="auto"/>
        <w:tabs>
          <w:tab w:leader="none" w:pos="32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ability to execute our dividend policy, including factors such as investment activity, operating results and the economic outlook, any or all of which may influence the decision of Host Inc.’s board of directors as to whether to pay future dividends at levels previously disclosed or to use available cash to pay special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08"/>
          </w:cols>
          <w:pgMar w:left="652" w:top="1440" w:right="339" w:bottom="1440" w:gutter="0" w:footer="0" w:header="0"/>
        </w:sectPr>
      </w:pPr>
    </w:p>
    <w:bookmarkStart w:id="6" w:name="page7"/>
    <w:bookmarkEnd w:id="6"/>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success also depends upon economic trends generally, various market conditions and fluctuations and those other risk factors discussed under the heading “Risk Factors” herein and in the accompanying prospectus and under the heading “Risk Factors” in our most recent annual report on Form 10-K and subsequent quarterly reports on Form 10-Q and in our other filings with the SEC that are incorporated by reference in this prospectus supplement and the accompanying prospectus. We caution you not to place undue reliance on forward-looking statements, which reflect our analysis only and speak as of the date of this prospectus supplement or the accompanying prospectus, as applicable, or as of the dates indicated in the statements. All of our forward-looking statements, including those included and incorporated by reference in this prospectus supplement and the accompanying prospectus, such as our outlook for 2025, are qualified in their entirety by this statement. We undertake no obligation to update any forward-looking statement to conform the statement to actual results or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80"/>
          </w:cols>
          <w:pgMar w:left="320" w:top="1440" w:right="4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184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3184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Host L.P. is a Delaware limited partnership operating through an umbrella partnership structure with Host Inc., a Maryland corporation, as its sole general partner. Host Inc. operates as a self-managed and self-administered REIT. In addition to being the sole general partner, Host Inc. holds approximately 99% of the partnership interests in Host L.P. as of March 31, 2025.</w:t>
      </w:r>
    </w:p>
    <w:p>
      <w:pPr>
        <w:spacing w:after="0" w:line="122"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18"/>
          <w:szCs w:val="18"/>
          <w:color w:val="auto"/>
        </w:rPr>
        <w:t>Host Inc. is the largest publicly traded lodging REIT, with a geographically diverse portfolio of luxury and upper upscale hotels, and conducts its operations through Host L.P. Host Inc. has the exclusive and complete responsibility for Host L.P.’s day-to-day management and control. As of March 31, 2025, our consolidated lodging portfolio consists of 81 primarily luxury and upper-upscale hotels containing approximately 43,400 rooms, with substantially all located in the United States (five of the hotels are located outside of the U.S. in Brazil and Canada). In addition, we own non-controlling interests in seven domestic and one international joint ventures that focus on the lodging industry.</w:t>
      </w:r>
    </w:p>
    <w:p>
      <w:pPr>
        <w:spacing w:after="0" w:line="13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The address of our principal executive office is 4747 Bethesda Avenue, Suite 1300, Bethesda, Maryland 20814. Our phone number is</w:t>
      </w:r>
    </w:p>
    <w:p>
      <w:pPr>
        <w:spacing w:after="0" w:line="27" w:lineRule="exact"/>
        <w:rPr>
          <w:sz w:val="20"/>
          <w:szCs w:val="20"/>
          <w:color w:val="auto"/>
        </w:rPr>
      </w:pPr>
    </w:p>
    <w:p>
      <w:pPr>
        <w:ind w:left="6" w:right="200" w:hanging="6"/>
        <w:spacing w:after="0" w:line="260" w:lineRule="auto"/>
        <w:tabs>
          <w:tab w:leader="none" w:pos="44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744-1000. Our Internet website address is www.hosthotels.com. The information found on, or otherwise accessible through, our website is not incorporated into, and does not form a part of,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9846"/>
          </w:cols>
          <w:pgMar w:left="994" w:top="1440" w:right="10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8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18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summary below describes the principal terms of the Series M senior notes. Many of the terms and conditions described below are subject to important limitations and exceptions. For a more detailed description of the terms and conditions of the Series M senior notes, see the section entitled “Description of Series M Senior Notes” in this prospectus supplement and the section entitled “Description of Debt Securities” in the accompanying prospectus. For purposes of this section, references to “we,” “our” or “us” refer only to Host Hotels &amp; Resorts, L.P. and its successors and not to our subsidiaries.</w:t>
      </w:r>
    </w:p>
    <w:p>
      <w:pPr>
        <w:spacing w:after="0" w:line="170" w:lineRule="exact"/>
        <w:rPr>
          <w:sz w:val="20"/>
          <w:szCs w:val="20"/>
          <w:color w:val="auto"/>
        </w:rPr>
      </w:pPr>
    </w:p>
    <w:p>
      <w:pPr>
        <w:ind w:left="20"/>
        <w:spacing w:after="0"/>
        <w:tabs>
          <w:tab w:leader="none" w:pos="4300" w:val="left"/>
        </w:tabs>
        <w:rPr>
          <w:sz w:val="20"/>
          <w:szCs w:val="20"/>
          <w:color w:val="auto"/>
        </w:rPr>
      </w:pPr>
      <w:r>
        <w:rPr>
          <w:rFonts w:ascii="Times New Roman" w:cs="Times New Roman" w:eastAsia="Times New Roman" w:hAnsi="Times New Roman"/>
          <w:sz w:val="18"/>
          <w:szCs w:val="18"/>
          <w:color w:val="auto"/>
        </w:rPr>
        <w:t>Issuer</w:t>
      </w:r>
      <w:r>
        <w:rPr>
          <w:sz w:val="20"/>
          <w:szCs w:val="20"/>
          <w:color w:val="auto"/>
        </w:rPr>
        <w:tab/>
      </w:r>
      <w:r>
        <w:rPr>
          <w:rFonts w:ascii="Times New Roman" w:cs="Times New Roman" w:eastAsia="Times New Roman" w:hAnsi="Times New Roman"/>
          <w:sz w:val="18"/>
          <w:szCs w:val="18"/>
          <w:color w:val="auto"/>
        </w:rPr>
        <w:t>Host Hotels &amp; Resorts, L.P., a Delaware limited partnership.</w:t>
      </w:r>
    </w:p>
    <w:p>
      <w:pPr>
        <w:spacing w:after="0" w:line="185" w:lineRule="exact"/>
        <w:rPr>
          <w:sz w:val="20"/>
          <w:szCs w:val="20"/>
          <w:color w:val="auto"/>
        </w:rPr>
      </w:pPr>
    </w:p>
    <w:p>
      <w:pPr>
        <w:ind w:left="20"/>
        <w:spacing w:after="0"/>
        <w:tabs>
          <w:tab w:leader="none" w:pos="4300" w:val="left"/>
        </w:tabs>
        <w:rPr>
          <w:sz w:val="20"/>
          <w:szCs w:val="20"/>
          <w:color w:val="auto"/>
        </w:rPr>
      </w:pPr>
      <w:r>
        <w:rPr>
          <w:rFonts w:ascii="Times New Roman" w:cs="Times New Roman" w:eastAsia="Times New Roman" w:hAnsi="Times New Roman"/>
          <w:sz w:val="18"/>
          <w:szCs w:val="18"/>
          <w:color w:val="auto"/>
        </w:rPr>
        <w:t>Securities Offered</w:t>
      </w:r>
      <w:r>
        <w:rPr>
          <w:sz w:val="20"/>
          <w:szCs w:val="20"/>
          <w:color w:val="auto"/>
        </w:rPr>
        <w:tab/>
      </w:r>
      <w:r>
        <w:rPr>
          <w:rFonts w:ascii="Times New Roman" w:cs="Times New Roman" w:eastAsia="Times New Roman" w:hAnsi="Times New Roman"/>
          <w:sz w:val="18"/>
          <w:szCs w:val="18"/>
          <w:color w:val="auto"/>
        </w:rPr>
        <w:t>$500 million aggregate principal amount of 5.700% Series M senior notes</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due 2032.</w:t>
      </w:r>
    </w:p>
    <w:p>
      <w:pPr>
        <w:spacing w:after="0" w:line="165" w:lineRule="exact"/>
        <w:rPr>
          <w:sz w:val="20"/>
          <w:szCs w:val="20"/>
          <w:color w:val="auto"/>
        </w:rPr>
      </w:pPr>
    </w:p>
    <w:p>
      <w:pPr>
        <w:ind w:left="20"/>
        <w:spacing w:after="0"/>
        <w:tabs>
          <w:tab w:leader="none" w:pos="4300" w:val="left"/>
        </w:tabs>
        <w:rPr>
          <w:sz w:val="20"/>
          <w:szCs w:val="20"/>
          <w:color w:val="auto"/>
        </w:rPr>
      </w:pPr>
      <w:r>
        <w:rPr>
          <w:rFonts w:ascii="Times New Roman" w:cs="Times New Roman" w:eastAsia="Times New Roman" w:hAnsi="Times New Roman"/>
          <w:sz w:val="18"/>
          <w:szCs w:val="18"/>
          <w:color w:val="auto"/>
        </w:rPr>
        <w:t>Maturity</w:t>
      </w:r>
      <w:r>
        <w:rPr>
          <w:sz w:val="20"/>
          <w:szCs w:val="20"/>
          <w:color w:val="auto"/>
        </w:rPr>
        <w:tab/>
      </w:r>
      <w:r>
        <w:rPr>
          <w:rFonts w:ascii="Times New Roman" w:cs="Times New Roman" w:eastAsia="Times New Roman" w:hAnsi="Times New Roman"/>
          <w:sz w:val="18"/>
          <w:szCs w:val="18"/>
          <w:color w:val="auto"/>
        </w:rPr>
        <w:t>June 15, 2032.</w:t>
      </w:r>
    </w:p>
    <w:p>
      <w:pPr>
        <w:spacing w:after="0" w:line="185" w:lineRule="exact"/>
        <w:rPr>
          <w:sz w:val="20"/>
          <w:szCs w:val="20"/>
          <w:color w:val="auto"/>
        </w:rPr>
      </w:pPr>
    </w:p>
    <w:p>
      <w:pPr>
        <w:ind w:left="20"/>
        <w:spacing w:after="0"/>
        <w:tabs>
          <w:tab w:leader="none" w:pos="4300" w:val="left"/>
        </w:tabs>
        <w:rPr>
          <w:sz w:val="20"/>
          <w:szCs w:val="20"/>
          <w:color w:val="auto"/>
        </w:rPr>
      </w:pPr>
      <w:r>
        <w:rPr>
          <w:rFonts w:ascii="Times New Roman" w:cs="Times New Roman" w:eastAsia="Times New Roman" w:hAnsi="Times New Roman"/>
          <w:sz w:val="18"/>
          <w:szCs w:val="18"/>
          <w:color w:val="auto"/>
        </w:rPr>
        <w:t>Interest</w:t>
      </w:r>
      <w:r>
        <w:rPr>
          <w:sz w:val="20"/>
          <w:szCs w:val="20"/>
          <w:color w:val="auto"/>
        </w:rPr>
        <w:tab/>
      </w:r>
      <w:r>
        <w:rPr>
          <w:rFonts w:ascii="Times New Roman" w:cs="Times New Roman" w:eastAsia="Times New Roman" w:hAnsi="Times New Roman"/>
          <w:sz w:val="18"/>
          <w:szCs w:val="18"/>
          <w:color w:val="auto"/>
        </w:rPr>
        <w:t>Interest on the Series M senior notes will accrue at an annual rate of 5.700%.</w:t>
      </w:r>
    </w:p>
    <w:p>
      <w:pPr>
        <w:spacing w:after="0" w:line="2" w:lineRule="exact"/>
        <w:rPr>
          <w:sz w:val="20"/>
          <w:szCs w:val="20"/>
          <w:color w:val="auto"/>
        </w:rPr>
      </w:pPr>
    </w:p>
    <w:p>
      <w:pPr>
        <w:ind w:left="4320"/>
        <w:spacing w:after="0" w:line="239" w:lineRule="auto"/>
        <w:rPr>
          <w:sz w:val="20"/>
          <w:szCs w:val="20"/>
          <w:color w:val="auto"/>
        </w:rPr>
      </w:pPr>
      <w:r>
        <w:rPr>
          <w:rFonts w:ascii="Times New Roman" w:cs="Times New Roman" w:eastAsia="Times New Roman" w:hAnsi="Times New Roman"/>
          <w:sz w:val="17"/>
          <w:szCs w:val="17"/>
          <w:color w:val="auto"/>
        </w:rPr>
        <w:t>We will pay interest on the Series M senior notes semi-annually in arrears on June 15 and December 15 of each year, commencing December 15, 2025.</w:t>
      </w:r>
    </w:p>
    <w:p>
      <w:pPr>
        <w:spacing w:after="0" w:line="158" w:lineRule="exact"/>
        <w:rPr>
          <w:sz w:val="20"/>
          <w:szCs w:val="20"/>
          <w:color w:val="auto"/>
        </w:rPr>
      </w:pPr>
    </w:p>
    <w:p>
      <w:pPr>
        <w:ind w:left="20"/>
        <w:spacing w:after="0"/>
        <w:tabs>
          <w:tab w:leader="none" w:pos="4300" w:val="left"/>
        </w:tabs>
        <w:rPr>
          <w:sz w:val="20"/>
          <w:szCs w:val="20"/>
          <w:color w:val="auto"/>
        </w:rPr>
      </w:pPr>
      <w:r>
        <w:rPr>
          <w:rFonts w:ascii="Times New Roman" w:cs="Times New Roman" w:eastAsia="Times New Roman" w:hAnsi="Times New Roman"/>
          <w:sz w:val="18"/>
          <w:szCs w:val="18"/>
          <w:color w:val="auto"/>
        </w:rPr>
        <w:t>Ranking</w:t>
      </w:r>
      <w:r>
        <w:rPr>
          <w:sz w:val="20"/>
          <w:szCs w:val="20"/>
          <w:color w:val="auto"/>
        </w:rPr>
        <w:tab/>
      </w:r>
      <w:r>
        <w:rPr>
          <w:rFonts w:ascii="Times New Roman" w:cs="Times New Roman" w:eastAsia="Times New Roman" w:hAnsi="Times New Roman"/>
          <w:sz w:val="18"/>
          <w:szCs w:val="18"/>
          <w:color w:val="auto"/>
        </w:rPr>
        <w:t>The Series M senior notes will be senior unsecured obligations, will rank</w:t>
      </w:r>
    </w:p>
    <w:p>
      <w:pPr>
        <w:spacing w:after="0" w:line="2" w:lineRule="exact"/>
        <w:rPr>
          <w:sz w:val="20"/>
          <w:szCs w:val="20"/>
          <w:color w:val="auto"/>
        </w:rPr>
      </w:pPr>
    </w:p>
    <w:p>
      <w:pPr>
        <w:ind w:left="4320" w:right="40"/>
        <w:spacing w:after="0" w:line="208" w:lineRule="auto"/>
        <w:rPr>
          <w:sz w:val="20"/>
          <w:szCs w:val="20"/>
          <w:color w:val="auto"/>
        </w:rPr>
      </w:pPr>
      <w:r>
        <w:rPr>
          <w:rFonts w:ascii="Times New Roman" w:cs="Times New Roman" w:eastAsia="Times New Roman" w:hAnsi="Times New Roman"/>
          <w:sz w:val="18"/>
          <w:szCs w:val="18"/>
          <w:color w:val="auto"/>
        </w:rPr>
        <w:t>senior to all of our future subordinated indebtedness and will rank equally in right of payment with all of our existing and future senior unsecured indebtedness, including our Credit Facility (as defined below) and our</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Existing Senior Notes.</w:t>
      </w:r>
    </w:p>
    <w:p>
      <w:pPr>
        <w:spacing w:after="0" w:line="1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The Series M senior notes and the Existing Senior Notes will be effectively</w:t>
      </w:r>
    </w:p>
    <w:p>
      <w:pPr>
        <w:ind w:left="4320"/>
        <w:spacing w:after="0" w:line="205" w:lineRule="auto"/>
        <w:rPr>
          <w:sz w:val="20"/>
          <w:szCs w:val="20"/>
          <w:color w:val="auto"/>
        </w:rPr>
      </w:pPr>
      <w:r>
        <w:rPr>
          <w:rFonts w:ascii="Times New Roman" w:cs="Times New Roman" w:eastAsia="Times New Roman" w:hAnsi="Times New Roman"/>
          <w:sz w:val="18"/>
          <w:szCs w:val="18"/>
          <w:color w:val="auto"/>
        </w:rPr>
        <w:t>subordinated to all of our existing and future secured indebtedness, to the</w:t>
      </w:r>
    </w:p>
    <w:p>
      <w:pPr>
        <w:ind w:left="4320"/>
        <w:spacing w:after="0" w:line="204" w:lineRule="auto"/>
        <w:rPr>
          <w:sz w:val="20"/>
          <w:szCs w:val="20"/>
          <w:color w:val="auto"/>
        </w:rPr>
      </w:pPr>
      <w:r>
        <w:rPr>
          <w:rFonts w:ascii="Times New Roman" w:cs="Times New Roman" w:eastAsia="Times New Roman" w:hAnsi="Times New Roman"/>
          <w:sz w:val="18"/>
          <w:szCs w:val="18"/>
          <w:color w:val="auto"/>
        </w:rPr>
        <w:t>extent of the value of the collateral securing such indebtedness, and to the</w:t>
      </w:r>
    </w:p>
    <w:p>
      <w:pPr>
        <w:ind w:left="4320"/>
        <w:spacing w:after="0" w:line="219" w:lineRule="auto"/>
        <w:rPr>
          <w:sz w:val="20"/>
          <w:szCs w:val="20"/>
          <w:color w:val="auto"/>
        </w:rPr>
      </w:pPr>
      <w:r>
        <w:rPr>
          <w:rFonts w:ascii="Times New Roman" w:cs="Times New Roman" w:eastAsia="Times New Roman" w:hAnsi="Times New Roman"/>
          <w:sz w:val="18"/>
          <w:szCs w:val="18"/>
          <w:color w:val="auto"/>
        </w:rPr>
        <w:t>indebtedness of our subsidiaries. For further information on ranking, see</w:t>
      </w:r>
    </w:p>
    <w:p>
      <w:pPr>
        <w:ind w:left="4320"/>
        <w:spacing w:after="0" w:line="203" w:lineRule="auto"/>
        <w:rPr>
          <w:sz w:val="20"/>
          <w:szCs w:val="20"/>
          <w:color w:val="auto"/>
        </w:rPr>
      </w:pPr>
      <w:r>
        <w:rPr>
          <w:rFonts w:ascii="Times New Roman" w:cs="Times New Roman" w:eastAsia="Times New Roman" w:hAnsi="Times New Roman"/>
          <w:sz w:val="18"/>
          <w:szCs w:val="18"/>
          <w:color w:val="auto"/>
        </w:rPr>
        <w:t>“Risk Factors—The Series M senior notes are effectively subordinated to</w:t>
      </w:r>
    </w:p>
    <w:p>
      <w:pPr>
        <w:ind w:left="4320"/>
        <w:spacing w:after="0" w:line="204" w:lineRule="auto"/>
        <w:rPr>
          <w:sz w:val="20"/>
          <w:szCs w:val="20"/>
          <w:color w:val="auto"/>
        </w:rPr>
      </w:pPr>
      <w:r>
        <w:rPr>
          <w:rFonts w:ascii="Times New Roman" w:cs="Times New Roman" w:eastAsia="Times New Roman" w:hAnsi="Times New Roman"/>
          <w:sz w:val="18"/>
          <w:szCs w:val="18"/>
          <w:color w:val="auto"/>
        </w:rPr>
        <w:t>our secured debt and to the liabilities of our subsidiaries,” “Description of</w:t>
      </w:r>
    </w:p>
    <w:p>
      <w:pPr>
        <w:ind w:left="4320"/>
        <w:spacing w:after="0" w:line="219" w:lineRule="auto"/>
        <w:rPr>
          <w:sz w:val="20"/>
          <w:szCs w:val="20"/>
          <w:color w:val="auto"/>
        </w:rPr>
      </w:pPr>
      <w:r>
        <w:rPr>
          <w:rFonts w:ascii="Times New Roman" w:cs="Times New Roman" w:eastAsia="Times New Roman" w:hAnsi="Times New Roman"/>
          <w:sz w:val="18"/>
          <w:szCs w:val="18"/>
          <w:color w:val="auto"/>
        </w:rPr>
        <w:t>Other Indebtedness” and “Description of Series M Senior Notes—Ranking”</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in this prospectus supplement.</w:t>
      </w:r>
    </w:p>
    <w:p>
      <w:pPr>
        <w:spacing w:after="0" w:line="16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As of March 31, 2025, as adjusted to give effect to the offering of the Series</w:t>
      </w:r>
    </w:p>
    <w:p>
      <w:pPr>
        <w:spacing w:after="0" w:line="2" w:lineRule="exact"/>
        <w:rPr>
          <w:sz w:val="20"/>
          <w:szCs w:val="20"/>
          <w:color w:val="auto"/>
        </w:rPr>
      </w:pPr>
    </w:p>
    <w:p>
      <w:pPr>
        <w:ind w:left="4320" w:right="220"/>
        <w:spacing w:after="0" w:line="208" w:lineRule="auto"/>
        <w:rPr>
          <w:sz w:val="20"/>
          <w:szCs w:val="20"/>
          <w:color w:val="auto"/>
        </w:rPr>
      </w:pPr>
      <w:r>
        <w:rPr>
          <w:rFonts w:ascii="Times New Roman" w:cs="Times New Roman" w:eastAsia="Times New Roman" w:hAnsi="Times New Roman"/>
          <w:sz w:val="18"/>
          <w:szCs w:val="18"/>
          <w:color w:val="auto"/>
        </w:rPr>
        <w:t>M senior notes and the application of the estimated net proceeds from this offering as described under “Use of Proceeds,” we and our subsidiaries would have had approximately $5.1 billion of total debt. See</w:t>
      </w:r>
    </w:p>
    <w:p>
      <w:pPr>
        <w:ind w:left="4320"/>
        <w:spacing w:after="0" w:line="205" w:lineRule="auto"/>
        <w:rPr>
          <w:sz w:val="20"/>
          <w:szCs w:val="20"/>
          <w:color w:val="auto"/>
        </w:rPr>
      </w:pPr>
      <w:r>
        <w:rPr>
          <w:rFonts w:ascii="Times New Roman" w:cs="Times New Roman" w:eastAsia="Times New Roman" w:hAnsi="Times New Roman"/>
          <w:sz w:val="18"/>
          <w:szCs w:val="18"/>
          <w:color w:val="auto"/>
        </w:rPr>
        <w:t>“Capitalization.” As of March 31, 2025, we had no subordinated</w:t>
      </w:r>
    </w:p>
    <w:p>
      <w:pPr>
        <w:spacing w:after="0" w:line="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indebtedness.</w:t>
      </w:r>
    </w:p>
    <w:p>
      <w:pPr>
        <w:spacing w:after="0" w:line="165" w:lineRule="exact"/>
        <w:rPr>
          <w:sz w:val="20"/>
          <w:szCs w:val="20"/>
          <w:color w:val="auto"/>
        </w:rPr>
      </w:pPr>
    </w:p>
    <w:p>
      <w:pPr>
        <w:ind w:left="20"/>
        <w:spacing w:after="0"/>
        <w:tabs>
          <w:tab w:leader="none" w:pos="4300" w:val="left"/>
        </w:tabs>
        <w:rPr>
          <w:sz w:val="20"/>
          <w:szCs w:val="20"/>
          <w:color w:val="auto"/>
        </w:rPr>
      </w:pPr>
      <w:r>
        <w:rPr>
          <w:rFonts w:ascii="Times New Roman" w:cs="Times New Roman" w:eastAsia="Times New Roman" w:hAnsi="Times New Roman"/>
          <w:sz w:val="18"/>
          <w:szCs w:val="18"/>
          <w:color w:val="auto"/>
        </w:rPr>
        <w:t>Optional Redemption</w:t>
      </w:r>
      <w:r>
        <w:rPr>
          <w:sz w:val="20"/>
          <w:szCs w:val="20"/>
          <w:color w:val="auto"/>
        </w:rPr>
        <w:tab/>
      </w:r>
      <w:r>
        <w:rPr>
          <w:rFonts w:ascii="Times New Roman" w:cs="Times New Roman" w:eastAsia="Times New Roman" w:hAnsi="Times New Roman"/>
          <w:sz w:val="17"/>
          <w:szCs w:val="17"/>
          <w:color w:val="auto"/>
        </w:rPr>
        <w:t>We have the option to redeem the Series M senior notes in whole or in part,</w:t>
      </w:r>
    </w:p>
    <w:p>
      <w:pPr>
        <w:spacing w:after="0" w:line="2" w:lineRule="exact"/>
        <w:rPr>
          <w:sz w:val="20"/>
          <w:szCs w:val="20"/>
          <w:color w:val="auto"/>
        </w:rPr>
      </w:pPr>
    </w:p>
    <w:p>
      <w:pPr>
        <w:ind w:left="4320" w:right="100"/>
        <w:spacing w:after="0" w:line="220" w:lineRule="auto"/>
        <w:rPr>
          <w:sz w:val="20"/>
          <w:szCs w:val="20"/>
          <w:color w:val="auto"/>
        </w:rPr>
      </w:pPr>
      <w:r>
        <w:rPr>
          <w:rFonts w:ascii="Times New Roman" w:cs="Times New Roman" w:eastAsia="Times New Roman" w:hAnsi="Times New Roman"/>
          <w:sz w:val="17"/>
          <w:szCs w:val="17"/>
          <w:color w:val="auto"/>
        </w:rPr>
        <w:t>at any time and from time to time, at the applicable redemption price specified herein. If the Series M senior notes are redeemed on or after April 16, 2032 (60 days prior to their maturity date), the redemption price will be</w:t>
      </w:r>
    </w:p>
    <w:p>
      <w:pPr>
        <w:spacing w:after="0" w:line="2" w:lineRule="exact"/>
        <w:rPr>
          <w:sz w:val="20"/>
          <w:szCs w:val="20"/>
          <w:color w:val="auto"/>
        </w:rPr>
      </w:pPr>
    </w:p>
    <w:p>
      <w:pPr>
        <w:ind w:left="4320" w:right="80"/>
        <w:spacing w:after="0" w:line="218" w:lineRule="auto"/>
        <w:rPr>
          <w:sz w:val="20"/>
          <w:szCs w:val="20"/>
          <w:color w:val="auto"/>
        </w:rPr>
      </w:pPr>
      <w:r>
        <w:rPr>
          <w:rFonts w:ascii="Times New Roman" w:cs="Times New Roman" w:eastAsia="Times New Roman" w:hAnsi="Times New Roman"/>
          <w:sz w:val="18"/>
          <w:szCs w:val="18"/>
          <w:color w:val="auto"/>
        </w:rPr>
        <w:t>equal to 100% of the principal amount of the Series M senior notes to be redeemed, plus accrued and unpaid interest to, but not including, the date of redemption.</w:t>
      </w:r>
    </w:p>
    <w:p>
      <w:pPr>
        <w:spacing w:after="0" w:line="158" w:lineRule="exact"/>
        <w:rPr>
          <w:sz w:val="20"/>
          <w:szCs w:val="20"/>
          <w:color w:val="auto"/>
        </w:rPr>
      </w:pPr>
    </w:p>
    <w:p>
      <w:pPr>
        <w:ind w:left="4320" w:right="280"/>
        <w:spacing w:after="0" w:line="250" w:lineRule="auto"/>
        <w:rPr>
          <w:sz w:val="20"/>
          <w:szCs w:val="20"/>
          <w:color w:val="auto"/>
        </w:rPr>
      </w:pPr>
      <w:r>
        <w:rPr>
          <w:rFonts w:ascii="Times New Roman" w:cs="Times New Roman" w:eastAsia="Times New Roman" w:hAnsi="Times New Roman"/>
          <w:sz w:val="18"/>
          <w:szCs w:val="18"/>
          <w:color w:val="auto"/>
        </w:rPr>
        <w:t>For more details, see the section entitled “Description of Series M Senior Notes—Optional Redemption.”</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9860"/>
          </w:cols>
          <w:pgMar w:left="1000" w:top="1440" w:right="1039" w:bottom="1440" w:gutter="0" w:footer="0" w:header="0"/>
          <w:type w:val="continuous"/>
        </w:sectPr>
      </w:pPr>
    </w:p>
    <w:bookmarkStart w:id="9" w:name="page10"/>
    <w:bookmarkEnd w:id="9"/>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44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Certain Covenants</w:t>
            </w:r>
          </w:p>
        </w:tc>
        <w:tc>
          <w:tcPr>
            <w:tcW w:w="678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covenants applicable to the Series M senior notes will be identical in all</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material respects to the covenants applicable to the Series K and Series L</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notes. The Indenture governing the Series M senior notes, among</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other things, restricts our ability and the ability of our subsidiaries to:</w:t>
            </w:r>
          </w:p>
        </w:tc>
      </w:tr>
      <w:tr>
        <w:trPr>
          <w:trHeight w:val="341"/>
        </w:trPr>
        <w:tc>
          <w:tcPr>
            <w:tcW w:w="4460" w:type="dxa"/>
            <w:vAlign w:val="bottom"/>
            <w:tcBorders>
              <w:left w:val="single" w:sz="8" w:color="auto"/>
            </w:tcBorders>
          </w:tcPr>
          <w:p>
            <w:pPr>
              <w:spacing w:after="0"/>
              <w:rPr>
                <w:sz w:val="24"/>
                <w:szCs w:val="24"/>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incur additional secured and unsecured indebtedness without satisfying</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certain financial metrics; and</w:t>
            </w:r>
          </w:p>
        </w:tc>
      </w:tr>
      <w:tr>
        <w:trPr>
          <w:trHeight w:val="283"/>
        </w:trPr>
        <w:tc>
          <w:tcPr>
            <w:tcW w:w="4460" w:type="dxa"/>
            <w:vAlign w:val="bottom"/>
            <w:tcBorders>
              <w:left w:val="single" w:sz="8" w:color="auto"/>
            </w:tcBorders>
          </w:tcPr>
          <w:p>
            <w:pPr>
              <w:spacing w:after="0"/>
              <w:rPr>
                <w:sz w:val="24"/>
                <w:szCs w:val="24"/>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   sell all or substantially all of our assets or merge with or into other</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companies.</w:t>
            </w:r>
          </w:p>
        </w:tc>
      </w:tr>
      <w:tr>
        <w:trPr>
          <w:trHeight w:val="341"/>
        </w:trPr>
        <w:tc>
          <w:tcPr>
            <w:tcW w:w="4460" w:type="dxa"/>
            <w:vAlign w:val="bottom"/>
            <w:tcBorders>
              <w:left w:val="single" w:sz="8" w:color="auto"/>
            </w:tcBorders>
          </w:tcPr>
          <w:p>
            <w:pPr>
              <w:spacing w:after="0"/>
              <w:rPr>
                <w:sz w:val="24"/>
                <w:szCs w:val="24"/>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These limitations are subject to important exceptions and qualifications. See</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“Description of Series M Senior Notes” in this prospectus supplement.</w:t>
            </w:r>
          </w:p>
        </w:tc>
      </w:tr>
      <w:tr>
        <w:trPr>
          <w:trHeight w:val="346"/>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No Limitation on Incurrence of Indebtedness</w:t>
            </w: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Subject to compliance with covenants relating to our aggregate debt,</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maintenance of total unencumbered assets, debt service and aggregate</w:t>
            </w:r>
          </w:p>
        </w:tc>
      </w:tr>
      <w:tr>
        <w:trPr>
          <w:trHeight w:val="176"/>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secured debt, the Indenture does not limit the amount of debt that we may</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issue under the Indenture or otherwise.</w:t>
            </w:r>
          </w:p>
        </w:tc>
      </w:tr>
      <w:tr>
        <w:trPr>
          <w:trHeight w:val="341"/>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Guarantees</w:t>
            </w: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Series M senior notes will not be guaranteed by Host Inc. or by any of</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our direct or indirect subsidiaries. Under certain circumstances, certain of</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our direct and indirect subsidiaries, in the future, may be required to</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tcPr>
          <w:p>
            <w:pPr>
              <w:ind w:left="540"/>
              <w:spacing w:after="0" w:line="184" w:lineRule="exact"/>
              <w:rPr>
                <w:sz w:val="20"/>
                <w:szCs w:val="20"/>
                <w:color w:val="auto"/>
              </w:rPr>
            </w:pPr>
            <w:r>
              <w:rPr>
                <w:rFonts w:ascii="Times New Roman" w:cs="Times New Roman" w:eastAsia="Times New Roman" w:hAnsi="Times New Roman"/>
                <w:sz w:val="18"/>
                <w:szCs w:val="18"/>
                <w:color w:val="auto"/>
              </w:rPr>
              <w:t>guarantee the Series M senior notes, as well as certain of our other</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outstanding indebtedness, including the Existing Senior Notes and the Credit</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Facility. However, this covenant will no longer apply at any time following</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tcPr>
          <w:p>
            <w:pPr>
              <w:ind w:left="540"/>
              <w:spacing w:after="0" w:line="184" w:lineRule="exact"/>
              <w:rPr>
                <w:sz w:val="20"/>
                <w:szCs w:val="20"/>
                <w:color w:val="auto"/>
              </w:rPr>
            </w:pPr>
            <w:r>
              <w:rPr>
                <w:rFonts w:ascii="Times New Roman" w:cs="Times New Roman" w:eastAsia="Times New Roman" w:hAnsi="Times New Roman"/>
                <w:sz w:val="18"/>
                <w:szCs w:val="18"/>
                <w:color w:val="auto"/>
              </w:rPr>
              <w:t>the elimination of the future guarantees covenant (including upon</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redemption or repayment in full) from all of the outstanding Pre-Series K</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Senior Notes (as defined below) and from the Credit Facility. Even if we are</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tcPr>
          <w:p>
            <w:pPr>
              <w:ind w:left="540"/>
              <w:spacing w:after="0" w:line="184" w:lineRule="exact"/>
              <w:rPr>
                <w:sz w:val="20"/>
                <w:szCs w:val="20"/>
                <w:color w:val="auto"/>
              </w:rPr>
            </w:pPr>
            <w:r>
              <w:rPr>
                <w:rFonts w:ascii="Times New Roman" w:cs="Times New Roman" w:eastAsia="Times New Roman" w:hAnsi="Times New Roman"/>
                <w:sz w:val="18"/>
                <w:szCs w:val="18"/>
                <w:color w:val="auto"/>
              </w:rPr>
              <w:t>required to provide for subsidiary guarantors in the future, those subsidiaries</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may be released without the consent of holders under certain circumstances.</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See “Description of Other Indebtedness—Senior Notes” and “Description of</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tcPr>
          <w:p>
            <w:pPr>
              <w:ind w:left="540"/>
              <w:spacing w:after="0" w:line="184" w:lineRule="exact"/>
              <w:rPr>
                <w:sz w:val="20"/>
                <w:szCs w:val="20"/>
                <w:color w:val="auto"/>
              </w:rPr>
            </w:pPr>
            <w:r>
              <w:rPr>
                <w:rFonts w:ascii="Times New Roman" w:cs="Times New Roman" w:eastAsia="Times New Roman" w:hAnsi="Times New Roman"/>
                <w:sz w:val="18"/>
                <w:szCs w:val="18"/>
                <w:color w:val="auto"/>
              </w:rPr>
              <w:t>Series M Senior Notes—Certain Covenants—Future Guarantees” in this</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346"/>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Security</w:t>
            </w: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Series M senior notes will not be secured by any of our assets or the</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assets of our subsidiaries.</w:t>
            </w:r>
          </w:p>
        </w:tc>
      </w:tr>
      <w:tr>
        <w:trPr>
          <w:trHeight w:val="346"/>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Use of Proceeds</w:t>
            </w: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We estimate the net proceeds from the sale of the Series M senior notes will</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be approximately $490 million, after deducting the underwriting discount, de</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minimis original issue discount, fees and expenses payable by us. We intend</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tcPr>
          <w:p>
            <w:pPr>
              <w:ind w:left="540"/>
              <w:spacing w:after="0" w:line="184" w:lineRule="exact"/>
              <w:rPr>
                <w:sz w:val="20"/>
                <w:szCs w:val="20"/>
                <w:color w:val="auto"/>
              </w:rPr>
            </w:pPr>
            <w:r>
              <w:rPr>
                <w:rFonts w:ascii="Times New Roman" w:cs="Times New Roman" w:eastAsia="Times New Roman" w:hAnsi="Times New Roman"/>
                <w:sz w:val="18"/>
                <w:szCs w:val="18"/>
                <w:color w:val="auto"/>
              </w:rPr>
              <w:t>to use the net proceeds from the sale of the Series M senior notes, together</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with cash on hand, to redeem all of the outstanding $500 million aggregate</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principal amount of our Series E senior notes at an aggregate redemption</w:t>
            </w:r>
          </w:p>
        </w:tc>
      </w:tr>
      <w:tr>
        <w:trPr>
          <w:trHeight w:val="184"/>
        </w:trPr>
        <w:tc>
          <w:tcPr>
            <w:tcW w:w="4460" w:type="dxa"/>
            <w:vAlign w:val="bottom"/>
            <w:tcBorders>
              <w:left w:val="single" w:sz="8" w:color="auto"/>
            </w:tcBorders>
          </w:tcPr>
          <w:p>
            <w:pPr>
              <w:spacing w:after="0"/>
              <w:rPr>
                <w:sz w:val="16"/>
                <w:szCs w:val="16"/>
                <w:color w:val="auto"/>
              </w:rPr>
            </w:pPr>
          </w:p>
        </w:tc>
        <w:tc>
          <w:tcPr>
            <w:tcW w:w="6780" w:type="dxa"/>
            <w:vAlign w:val="bottom"/>
            <w:tcBorders>
              <w:right w:val="single" w:sz="8" w:color="auto"/>
            </w:tcBorders>
          </w:tcPr>
          <w:p>
            <w:pPr>
              <w:ind w:left="540"/>
              <w:spacing w:after="0" w:line="184" w:lineRule="exact"/>
              <w:rPr>
                <w:sz w:val="20"/>
                <w:szCs w:val="20"/>
                <w:color w:val="auto"/>
              </w:rPr>
            </w:pPr>
            <w:r>
              <w:rPr>
                <w:rFonts w:ascii="Times New Roman" w:cs="Times New Roman" w:eastAsia="Times New Roman" w:hAnsi="Times New Roman"/>
                <w:sz w:val="18"/>
                <w:szCs w:val="18"/>
                <w:color w:val="auto"/>
              </w:rPr>
              <w:t>price of $500 million, not including accrued interest. See “Use of Proceeds”</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 this prospectus supplement.</w:t>
            </w:r>
          </w:p>
        </w:tc>
      </w:tr>
      <w:tr>
        <w:trPr>
          <w:trHeight w:val="346"/>
        </w:trPr>
        <w:tc>
          <w:tcPr>
            <w:tcW w:w="44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Absence of Public Market</w:t>
            </w: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Series M senior notes are a new issue of securities with no established</w:t>
            </w:r>
          </w:p>
        </w:tc>
      </w:tr>
      <w:tr>
        <w:trPr>
          <w:trHeight w:val="180"/>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81" w:lineRule="exact"/>
              <w:rPr>
                <w:sz w:val="20"/>
                <w:szCs w:val="20"/>
                <w:color w:val="auto"/>
              </w:rPr>
            </w:pPr>
            <w:r>
              <w:rPr>
                <w:rFonts w:ascii="Times New Roman" w:cs="Times New Roman" w:eastAsia="Times New Roman" w:hAnsi="Times New Roman"/>
                <w:sz w:val="18"/>
                <w:szCs w:val="18"/>
                <w:color w:val="auto"/>
              </w:rPr>
              <w:t>trading market. We cannot assure you that any active or liquid market will</w:t>
            </w:r>
          </w:p>
        </w:tc>
      </w:tr>
      <w:tr>
        <w:trPr>
          <w:trHeight w:val="175"/>
        </w:trPr>
        <w:tc>
          <w:tcPr>
            <w:tcW w:w="4460" w:type="dxa"/>
            <w:vAlign w:val="bottom"/>
            <w:tcBorders>
              <w:left w:val="single" w:sz="8" w:color="auto"/>
            </w:tcBorders>
          </w:tcPr>
          <w:p>
            <w:pPr>
              <w:spacing w:after="0"/>
              <w:rPr>
                <w:sz w:val="15"/>
                <w:szCs w:val="15"/>
                <w:color w:val="auto"/>
              </w:rPr>
            </w:pPr>
          </w:p>
        </w:tc>
        <w:tc>
          <w:tcPr>
            <w:tcW w:w="6780" w:type="dxa"/>
            <w:vAlign w:val="bottom"/>
            <w:tcBorders>
              <w:right w:val="single" w:sz="8" w:color="auto"/>
            </w:tcBorders>
          </w:tcPr>
          <w:p>
            <w:pPr>
              <w:ind w:left="540"/>
              <w:spacing w:after="0" w:line="176" w:lineRule="exact"/>
              <w:rPr>
                <w:sz w:val="20"/>
                <w:szCs w:val="20"/>
                <w:color w:val="auto"/>
              </w:rPr>
            </w:pPr>
            <w:r>
              <w:rPr>
                <w:rFonts w:ascii="Times New Roman" w:cs="Times New Roman" w:eastAsia="Times New Roman" w:hAnsi="Times New Roman"/>
                <w:sz w:val="18"/>
                <w:szCs w:val="18"/>
                <w:color w:val="auto"/>
              </w:rPr>
              <w:t>develop for the Series M senior notes. See “Underwriting—New Issue of</w:t>
            </w:r>
          </w:p>
        </w:tc>
      </w:tr>
      <w:tr>
        <w:trPr>
          <w:trHeight w:val="234"/>
        </w:trPr>
        <w:tc>
          <w:tcPr>
            <w:tcW w:w="4460" w:type="dxa"/>
            <w:vAlign w:val="bottom"/>
            <w:tcBorders>
              <w:left w:val="single" w:sz="8" w:color="auto"/>
            </w:tcBorders>
          </w:tcPr>
          <w:p>
            <w:pPr>
              <w:spacing w:after="0"/>
              <w:rPr>
                <w:sz w:val="20"/>
                <w:szCs w:val="20"/>
                <w:color w:val="auto"/>
              </w:rPr>
            </w:pPr>
          </w:p>
        </w:tc>
        <w:tc>
          <w:tcPr>
            <w:tcW w:w="67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Notes” in this prospectus supplement.</w:t>
            </w:r>
          </w:p>
        </w:tc>
      </w:tr>
      <w:tr>
        <w:trPr>
          <w:trHeight w:val="734"/>
        </w:trPr>
        <w:tc>
          <w:tcPr>
            <w:tcW w:w="4460" w:type="dxa"/>
            <w:vAlign w:val="bottom"/>
            <w:tcBorders>
              <w:left w:val="single" w:sz="8" w:color="auto"/>
              <w:bottom w:val="single" w:sz="8" w:color="auto"/>
            </w:tcBorders>
          </w:tcPr>
          <w:p>
            <w:pPr>
              <w:spacing w:after="0"/>
              <w:rPr>
                <w:sz w:val="24"/>
                <w:szCs w:val="24"/>
                <w:color w:val="auto"/>
              </w:rPr>
            </w:pPr>
          </w:p>
        </w:tc>
        <w:tc>
          <w:tcPr>
            <w:tcW w:w="678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35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Other Relationships</w:t>
            </w:r>
          </w:p>
        </w:tc>
        <w:tc>
          <w:tcPr>
            <w:tcW w:w="7680" w:type="dxa"/>
            <w:vAlign w:val="bottom"/>
            <w:tcBorders>
              <w:top w:val="single" w:sz="8" w:color="auto"/>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Certain of the underwriters or their affiliates may hold the Series E senior</w:t>
            </w:r>
          </w:p>
        </w:tc>
        <w:tc>
          <w:tcPr>
            <w:tcW w:w="0" w:type="dxa"/>
            <w:vAlign w:val="bottom"/>
          </w:tcPr>
          <w:p>
            <w:pPr>
              <w:spacing w:after="0"/>
              <w:rPr>
                <w:sz w:val="1"/>
                <w:szCs w:val="1"/>
                <w:color w:val="auto"/>
              </w:rPr>
            </w:pPr>
          </w:p>
        </w:tc>
      </w:tr>
      <w:tr>
        <w:trPr>
          <w:trHeight w:val="180"/>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gridSpan w:val="3"/>
          </w:tcPr>
          <w:p>
            <w:pPr>
              <w:ind w:left="1440"/>
              <w:spacing w:after="0" w:line="181" w:lineRule="exact"/>
              <w:rPr>
                <w:sz w:val="20"/>
                <w:szCs w:val="20"/>
                <w:color w:val="auto"/>
              </w:rPr>
            </w:pPr>
            <w:r>
              <w:rPr>
                <w:rFonts w:ascii="Times New Roman" w:cs="Times New Roman" w:eastAsia="Times New Roman" w:hAnsi="Times New Roman"/>
                <w:sz w:val="18"/>
                <w:szCs w:val="18"/>
                <w:color w:val="auto"/>
              </w:rPr>
              <w:t>notes and as a result of the redemption thereof as set forth under the heading</w:t>
            </w:r>
          </w:p>
        </w:tc>
        <w:tc>
          <w:tcPr>
            <w:tcW w:w="0" w:type="dxa"/>
            <w:vAlign w:val="bottom"/>
          </w:tcPr>
          <w:p>
            <w:pPr>
              <w:spacing w:after="0"/>
              <w:rPr>
                <w:sz w:val="1"/>
                <w:szCs w:val="1"/>
                <w:color w:val="auto"/>
              </w:rPr>
            </w:pPr>
          </w:p>
        </w:tc>
      </w:tr>
      <w:tr>
        <w:trPr>
          <w:trHeight w:val="176"/>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gridSpan w:val="3"/>
          </w:tcPr>
          <w:p>
            <w:pPr>
              <w:ind w:left="1440"/>
              <w:spacing w:after="0" w:line="176" w:lineRule="exact"/>
              <w:rPr>
                <w:sz w:val="20"/>
                <w:szCs w:val="20"/>
                <w:color w:val="auto"/>
              </w:rPr>
            </w:pPr>
            <w:r>
              <w:rPr>
                <w:rFonts w:ascii="Times New Roman" w:cs="Times New Roman" w:eastAsia="Times New Roman" w:hAnsi="Times New Roman"/>
                <w:sz w:val="18"/>
                <w:szCs w:val="18"/>
                <w:color w:val="auto"/>
              </w:rPr>
              <w:t>“Use of Proceeds” in this prospectus supplement, may receive a portion of</w:t>
            </w:r>
          </w:p>
        </w:tc>
        <w:tc>
          <w:tcPr>
            <w:tcW w:w="0" w:type="dxa"/>
            <w:vAlign w:val="bottom"/>
          </w:tcPr>
          <w:p>
            <w:pPr>
              <w:spacing w:after="0"/>
              <w:rPr>
                <w:sz w:val="1"/>
                <w:szCs w:val="1"/>
                <w:color w:val="auto"/>
              </w:rPr>
            </w:pPr>
          </w:p>
        </w:tc>
      </w:tr>
      <w:tr>
        <w:trPr>
          <w:trHeight w:val="184"/>
        </w:trPr>
        <w:tc>
          <w:tcPr>
            <w:tcW w:w="356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gridSpan w:val="3"/>
          </w:tcPr>
          <w:p>
            <w:pPr>
              <w:ind w:left="1440"/>
              <w:spacing w:after="0" w:line="184" w:lineRule="exact"/>
              <w:rPr>
                <w:sz w:val="20"/>
                <w:szCs w:val="20"/>
                <w:color w:val="auto"/>
              </w:rPr>
            </w:pPr>
            <w:r>
              <w:rPr>
                <w:rFonts w:ascii="Times New Roman" w:cs="Times New Roman" w:eastAsia="Times New Roman" w:hAnsi="Times New Roman"/>
                <w:sz w:val="18"/>
                <w:szCs w:val="18"/>
                <w:color w:val="auto"/>
              </w:rPr>
              <w:t>the net proceeds from this offering. See “Underwriting—Other</w:t>
            </w:r>
          </w:p>
        </w:tc>
        <w:tc>
          <w:tcPr>
            <w:tcW w:w="0" w:type="dxa"/>
            <w:vAlign w:val="bottom"/>
          </w:tcPr>
          <w:p>
            <w:pPr>
              <w:spacing w:after="0"/>
              <w:rPr>
                <w:sz w:val="1"/>
                <w:szCs w:val="1"/>
                <w:color w:val="auto"/>
              </w:rPr>
            </w:pPr>
          </w:p>
        </w:tc>
      </w:tr>
      <w:tr>
        <w:trPr>
          <w:trHeight w:val="234"/>
        </w:trPr>
        <w:tc>
          <w:tcPr>
            <w:tcW w:w="35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Relationships.”</w:t>
            </w:r>
          </w:p>
        </w:tc>
        <w:tc>
          <w:tcPr>
            <w:tcW w:w="0" w:type="dxa"/>
            <w:vAlign w:val="bottom"/>
          </w:tcPr>
          <w:p>
            <w:pPr>
              <w:spacing w:after="0"/>
              <w:rPr>
                <w:sz w:val="1"/>
                <w:szCs w:val="1"/>
                <w:color w:val="auto"/>
              </w:rPr>
            </w:pPr>
          </w:p>
        </w:tc>
      </w:tr>
      <w:tr>
        <w:trPr>
          <w:trHeight w:val="351"/>
        </w:trPr>
        <w:tc>
          <w:tcPr>
            <w:tcW w:w="35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Risk Factors</w:t>
            </w:r>
          </w:p>
        </w:tc>
        <w:tc>
          <w:tcPr>
            <w:tcW w:w="7680" w:type="dxa"/>
            <w:vAlign w:val="bottom"/>
            <w:tcBorders>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 xml:space="preserve">You should read carefully the “Risk Factors” beginning on page </w:t>
            </w:r>
            <w:r>
              <w:rPr>
                <w:rFonts w:ascii="Times New Roman" w:cs="Times New Roman" w:eastAsia="Times New Roman" w:hAnsi="Times New Roman"/>
                <w:sz w:val="18"/>
                <w:szCs w:val="18"/>
                <w:color w:val="0000FF"/>
              </w:rPr>
              <w:t>S-9</w:t>
            </w:r>
            <w:r>
              <w:rPr>
                <w:rFonts w:ascii="Times New Roman" w:cs="Times New Roman" w:eastAsia="Times New Roman" w:hAnsi="Times New Roman"/>
                <w:sz w:val="18"/>
                <w:szCs w:val="18"/>
                <w:color w:val="auto"/>
              </w:rPr>
              <w:t xml:space="preserve"> of this</w:t>
            </w:r>
          </w:p>
        </w:tc>
        <w:tc>
          <w:tcPr>
            <w:tcW w:w="0" w:type="dxa"/>
            <w:vAlign w:val="bottom"/>
          </w:tcPr>
          <w:p>
            <w:pPr>
              <w:spacing w:after="0"/>
              <w:rPr>
                <w:sz w:val="1"/>
                <w:szCs w:val="1"/>
                <w:color w:val="auto"/>
              </w:rPr>
            </w:pPr>
          </w:p>
        </w:tc>
      </w:tr>
      <w:tr>
        <w:trPr>
          <w:trHeight w:val="20"/>
        </w:trPr>
        <w:tc>
          <w:tcPr>
            <w:tcW w:w="3560" w:type="dxa"/>
            <w:vAlign w:val="bottom"/>
            <w:tcBorders>
              <w:left w:val="single" w:sz="8" w:color="auto"/>
            </w:tcBorders>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40" w:type="dxa"/>
            <w:vAlign w:val="bottom"/>
            <w:tcBorders>
              <w:right w:val="single" w:sz="8" w:color="auto"/>
            </w:tcBorders>
            <w:vMerge w:val="restart"/>
          </w:tcPr>
          <w:p>
            <w:pPr>
              <w:ind w:left="140"/>
              <w:spacing w:after="0" w:line="176" w:lineRule="exact"/>
              <w:rPr>
                <w:sz w:val="20"/>
                <w:szCs w:val="20"/>
                <w:color w:val="auto"/>
              </w:rPr>
            </w:pPr>
            <w:r>
              <w:rPr>
                <w:rFonts w:ascii="Times New Roman" w:cs="Times New Roman" w:eastAsia="Times New Roman" w:hAnsi="Times New Roman"/>
                <w:sz w:val="18"/>
                <w:szCs w:val="18"/>
                <w:color w:val="auto"/>
              </w:rPr>
              <w:t>on</w:t>
            </w:r>
          </w:p>
        </w:tc>
        <w:tc>
          <w:tcPr>
            <w:tcW w:w="0" w:type="dxa"/>
            <w:vAlign w:val="bottom"/>
          </w:tcPr>
          <w:p>
            <w:pPr>
              <w:spacing w:after="0" w:line="20" w:lineRule="exact"/>
              <w:rPr>
                <w:sz w:val="1"/>
                <w:szCs w:val="1"/>
                <w:color w:val="auto"/>
              </w:rPr>
            </w:pPr>
          </w:p>
        </w:tc>
      </w:tr>
      <w:tr>
        <w:trPr>
          <w:trHeight w:val="156"/>
        </w:trPr>
        <w:tc>
          <w:tcPr>
            <w:tcW w:w="3560" w:type="dxa"/>
            <w:vAlign w:val="bottom"/>
            <w:tcBorders>
              <w:left w:val="single" w:sz="8" w:color="auto"/>
            </w:tcBorders>
          </w:tcPr>
          <w:p>
            <w:pPr>
              <w:spacing w:after="0"/>
              <w:rPr>
                <w:sz w:val="13"/>
                <w:szCs w:val="13"/>
                <w:color w:val="auto"/>
              </w:rPr>
            </w:pPr>
          </w:p>
        </w:tc>
        <w:tc>
          <w:tcPr>
            <w:tcW w:w="6340" w:type="dxa"/>
            <w:vAlign w:val="bottom"/>
            <w:gridSpan w:val="2"/>
          </w:tcPr>
          <w:p>
            <w:pPr>
              <w:ind w:left="1440"/>
              <w:spacing w:after="0" w:line="156" w:lineRule="exact"/>
              <w:rPr>
                <w:sz w:val="20"/>
                <w:szCs w:val="20"/>
                <w:color w:val="auto"/>
              </w:rPr>
            </w:pPr>
            <w:r>
              <w:rPr>
                <w:rFonts w:ascii="Times New Roman" w:cs="Times New Roman" w:eastAsia="Times New Roman" w:hAnsi="Times New Roman"/>
                <w:sz w:val="18"/>
                <w:szCs w:val="18"/>
                <w:color w:val="auto"/>
                <w:w w:val="97"/>
              </w:rPr>
              <w:t>prospectus supplement and set forth in Item 1A of our Annual Report</w:t>
            </w:r>
          </w:p>
        </w:tc>
        <w:tc>
          <w:tcPr>
            <w:tcW w:w="13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gridSpan w:val="3"/>
          </w:tcPr>
          <w:p>
            <w:pPr>
              <w:ind w:left="1440"/>
              <w:spacing w:after="0" w:line="176" w:lineRule="exact"/>
              <w:rPr>
                <w:sz w:val="20"/>
                <w:szCs w:val="20"/>
                <w:color w:val="auto"/>
              </w:rPr>
            </w:pPr>
            <w:r>
              <w:rPr>
                <w:rFonts w:ascii="Times New Roman" w:cs="Times New Roman" w:eastAsia="Times New Roman" w:hAnsi="Times New Roman"/>
                <w:sz w:val="18"/>
                <w:szCs w:val="18"/>
                <w:color w:val="auto"/>
              </w:rPr>
              <w:t>Form 10-K for the year ended December 31, 2024, which is incorporated</w:t>
            </w:r>
          </w:p>
        </w:tc>
        <w:tc>
          <w:tcPr>
            <w:tcW w:w="0" w:type="dxa"/>
            <w:vAlign w:val="bottom"/>
          </w:tcPr>
          <w:p>
            <w:pPr>
              <w:spacing w:after="0"/>
              <w:rPr>
                <w:sz w:val="1"/>
                <w:szCs w:val="1"/>
                <w:color w:val="auto"/>
              </w:rPr>
            </w:pPr>
          </w:p>
        </w:tc>
      </w:tr>
      <w:tr>
        <w:trPr>
          <w:trHeight w:val="184"/>
        </w:trPr>
        <w:tc>
          <w:tcPr>
            <w:tcW w:w="356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gridSpan w:val="3"/>
          </w:tcPr>
          <w:p>
            <w:pPr>
              <w:ind w:left="1440"/>
              <w:spacing w:after="0" w:line="184" w:lineRule="exact"/>
              <w:rPr>
                <w:sz w:val="20"/>
                <w:szCs w:val="20"/>
                <w:color w:val="auto"/>
              </w:rPr>
            </w:pPr>
            <w:r>
              <w:rPr>
                <w:rFonts w:ascii="Times New Roman" w:cs="Times New Roman" w:eastAsia="Times New Roman" w:hAnsi="Times New Roman"/>
                <w:sz w:val="18"/>
                <w:szCs w:val="18"/>
                <w:color w:val="auto"/>
              </w:rPr>
              <w:t>herein by reference, as well as the risk factors discussed in the periodic</w:t>
            </w:r>
          </w:p>
        </w:tc>
        <w:tc>
          <w:tcPr>
            <w:tcW w:w="0" w:type="dxa"/>
            <w:vAlign w:val="bottom"/>
          </w:tcPr>
          <w:p>
            <w:pPr>
              <w:spacing w:after="0"/>
              <w:rPr>
                <w:sz w:val="1"/>
                <w:szCs w:val="1"/>
                <w:color w:val="auto"/>
              </w:rPr>
            </w:pPr>
          </w:p>
        </w:tc>
      </w:tr>
      <w:tr>
        <w:trPr>
          <w:trHeight w:val="180"/>
        </w:trPr>
        <w:tc>
          <w:tcPr>
            <w:tcW w:w="3560" w:type="dxa"/>
            <w:vAlign w:val="bottom"/>
            <w:tcBorders>
              <w:left w:val="single" w:sz="8" w:color="auto"/>
            </w:tcBorders>
          </w:tcPr>
          <w:p>
            <w:pPr>
              <w:spacing w:after="0"/>
              <w:rPr>
                <w:sz w:val="15"/>
                <w:szCs w:val="15"/>
                <w:color w:val="auto"/>
              </w:rPr>
            </w:pPr>
          </w:p>
        </w:tc>
        <w:tc>
          <w:tcPr>
            <w:tcW w:w="7680" w:type="dxa"/>
            <w:vAlign w:val="bottom"/>
            <w:tcBorders>
              <w:right w:val="single" w:sz="8" w:color="auto"/>
            </w:tcBorders>
            <w:gridSpan w:val="3"/>
          </w:tcPr>
          <w:p>
            <w:pPr>
              <w:ind w:left="1440"/>
              <w:spacing w:after="0" w:line="181" w:lineRule="exact"/>
              <w:rPr>
                <w:sz w:val="20"/>
                <w:szCs w:val="20"/>
                <w:color w:val="auto"/>
              </w:rPr>
            </w:pPr>
            <w:r>
              <w:rPr>
                <w:rFonts w:ascii="Times New Roman" w:cs="Times New Roman" w:eastAsia="Times New Roman" w:hAnsi="Times New Roman"/>
                <w:sz w:val="18"/>
                <w:szCs w:val="18"/>
                <w:color w:val="auto"/>
              </w:rPr>
              <w:t>reports and other documents we file from time to time with the Commission</w:t>
            </w:r>
          </w:p>
        </w:tc>
        <w:tc>
          <w:tcPr>
            <w:tcW w:w="0" w:type="dxa"/>
            <w:vAlign w:val="bottom"/>
          </w:tcPr>
          <w:p>
            <w:pPr>
              <w:spacing w:after="0"/>
              <w:rPr>
                <w:sz w:val="1"/>
                <w:szCs w:val="1"/>
                <w:color w:val="auto"/>
              </w:rPr>
            </w:pPr>
          </w:p>
        </w:tc>
      </w:tr>
      <w:tr>
        <w:trPr>
          <w:trHeight w:val="234"/>
        </w:trPr>
        <w:tc>
          <w:tcPr>
            <w:tcW w:w="35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and which we incorporate into this prospectus supplement by reference.</w:t>
            </w:r>
          </w:p>
        </w:tc>
        <w:tc>
          <w:tcPr>
            <w:tcW w:w="0" w:type="dxa"/>
            <w:vAlign w:val="bottom"/>
          </w:tcPr>
          <w:p>
            <w:pPr>
              <w:spacing w:after="0"/>
              <w:rPr>
                <w:sz w:val="1"/>
                <w:szCs w:val="1"/>
                <w:color w:val="auto"/>
              </w:rPr>
            </w:pPr>
          </w:p>
        </w:tc>
      </w:tr>
      <w:tr>
        <w:trPr>
          <w:trHeight w:val="387"/>
        </w:trPr>
        <w:tc>
          <w:tcPr>
            <w:tcW w:w="35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Trustee</w:t>
            </w:r>
          </w:p>
        </w:tc>
        <w:tc>
          <w:tcPr>
            <w:tcW w:w="7680" w:type="dxa"/>
            <w:vAlign w:val="bottom"/>
            <w:tcBorders>
              <w:right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color w:val="auto"/>
              </w:rPr>
              <w:t>The Bank of New York Mellon.</w:t>
            </w:r>
          </w:p>
        </w:tc>
        <w:tc>
          <w:tcPr>
            <w:tcW w:w="0" w:type="dxa"/>
            <w:vAlign w:val="bottom"/>
          </w:tcPr>
          <w:p>
            <w:pPr>
              <w:spacing w:after="0"/>
              <w:rPr>
                <w:sz w:val="1"/>
                <w:szCs w:val="1"/>
                <w:color w:val="auto"/>
              </w:rPr>
            </w:pPr>
          </w:p>
        </w:tc>
      </w:tr>
      <w:tr>
        <w:trPr>
          <w:trHeight w:val="577"/>
        </w:trPr>
        <w:tc>
          <w:tcPr>
            <w:tcW w:w="3560" w:type="dxa"/>
            <w:vAlign w:val="bottom"/>
            <w:tcBorders>
              <w:left w:val="single" w:sz="8" w:color="auto"/>
              <w:bottom w:val="single" w:sz="8" w:color="auto"/>
            </w:tcBorders>
          </w:tcPr>
          <w:p>
            <w:pPr>
              <w:spacing w:after="0"/>
              <w:rPr>
                <w:sz w:val="24"/>
                <w:szCs w:val="24"/>
                <w:color w:val="auto"/>
              </w:rPr>
            </w:pPr>
          </w:p>
        </w:tc>
        <w:tc>
          <w:tcPr>
            <w:tcW w:w="6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Your investment in our Series M senior notes involves certain risks. In consultation with your own financial and legal advisers, you should carefully consider, among other matters, the factors set forth below as well as the risk factors discussed in the accompanying prospectus, our Annual Report on Form 10-K for the year ended December 31, 2024 and any subsequently filed periodic reports which are incorporated by reference into this prospectus supplement and the accompanying prospectus, before deciding whether an investment in our Series M senior notes is suitable for you.</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Series M senior notes are effectively subordinated to our secured debt and to the liabilities of our subsidiaries.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Series M senior notes will be our senior unsecured obligations and will rank equally in right of payment with all of our other senior unsecured indebtedness, which currently includes our Existing Senior Notes and indebtedness under our Credit Facility. However, the Series M senior notes will be effectively subordinated to all of our existing and future secured indebtedness, to the extent of the value of the collateral securing such indebtedness. The Indenture governing the Series M senior notes places limitations on our ability to incur secured indebtedness but does not prohibit us from incurring secured indebtedness in the future. Consequently, in the event of a bankruptcy, liquidation, dissolution, reorganization or similar proceeding with respect to us, the holders of any secured indebtedness will be entitled to proceed directly against the collateral that secures such indebtedness. Therefore, such collateral will not be available for satisfaction of any amounts owed under our unsecured indebtedness, including the Series M senior notes, until such secured indebtedness is satisfied in full.</w:t>
      </w:r>
    </w:p>
    <w:p>
      <w:pPr>
        <w:spacing w:after="0" w:line="1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Series M senior notes will also be effectively subordinated to all existing and future unsecured and secured liabilities of our subsidiaries. Therefore, holders of our debt, including the Series M senior notes, will be subject to the prior claims of each of such subsidiary’s creditors, including trade creditors. As of March 31, 2025, our subsidiaries had outstanding approximately $88 million of cash liabilities and future obligations under operating leases of approximately $559 million that are effectively senior to the Series M senior notes offered hereby.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terms of our debt place restrictions on us and on our subsidiaries, reducing our operational flexibility and creating default risks.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Indenture governing the Series M senior notes contains covenants that place restrictions on us and on our subsidiaries, and will, among other things, restrict our ability and the ability of our subsidiaries to:</w:t>
      </w:r>
    </w:p>
    <w:p>
      <w:pPr>
        <w:spacing w:after="0" w:line="10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secured and unsecured indebtedness without satisfying certain financial metrics;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acquisitions, mergers or consolidations unless the successor entity in such transaction assumes our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above listed covenants, certain covenants in our Credit Facility place restrictions on our ability and the ability of our subsidiaries to:</w:t>
      </w:r>
    </w:p>
    <w:p>
      <w:pPr>
        <w:spacing w:after="0" w:line="171" w:lineRule="exact"/>
        <w:rPr>
          <w:sz w:val="20"/>
          <w:szCs w:val="20"/>
          <w:color w:val="auto"/>
        </w:rPr>
      </w:pPr>
    </w:p>
    <w:p>
      <w:pPr>
        <w:ind w:left="660" w:right="4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distributions or stock repurchases, acquisitions, dispositions or incur secured or unsecured debt, in each case without satisfying certain financial metrics;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transactions with affiliates other than on an arm’s-length basis.</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Additionally, certain covenants in our Credit Facility require us and our subsidiaries to meet financial performance tests. The restrictive covenants in our Indenture, our Credit Facility and the documents governing our other debt (including any future mortgage debt) will reduce our flexibility in conducting our operations and will limit our ability to engage in activities that may be in our long-term best interest. Failure to comply with these restrictive covenants could result in an event of default that, if not cured or waived, could result in the acceleration of all or a substantial portion of our debt. For a detailed description of the covenants and restrictions imposed by the documents governing our indebtedness, see “Description of Other Indebtedness” and “Description of Series M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00"/>
          </w:cols>
          <w:pgMar w:left="320" w:top="1440" w:right="379" w:bottom="1440" w:gutter="0" w:footer="0" w:header="0"/>
        </w:sectPr>
      </w:pPr>
    </w:p>
    <w:bookmarkStart w:id="12" w:name="page13"/>
    <w:bookmarkEnd w:id="12"/>
    <w:p>
      <w:pPr>
        <w:spacing w:after="0" w:line="136"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of the covenants applicable to our Series M senior notes will no longer apply at any time that certain of our existing indebtedness is no longer outstanding or does not otherwise contain comparable restrictions; as a result, if and when these covenants no longer apply, under certain circumstances our Series M senior notes may be effectively subordinated to other senior indebtedness of the Company that we may incur and secure in the future and may not have the benefit of certain subsidiary guarantees after our Credit Facility no longer requires such springing guarantees.</w:t>
      </w:r>
    </w:p>
    <w:p>
      <w:pPr>
        <w:spacing w:after="0" w:line="1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Existing Senior Notes prohibit, and our Series M senior notes will prohibit, us from securing indebtedness under our Credit Facility or the Existing Senior Notes unless effective provision is made to secure our Existing Senior Notes and the Series M senior notes on an equal and ratable basis. In addition, our subsidiaries will be required to guarantee our Existing Senior Notes and our Series M senior notes in the event that they guarantee any of our indebtedness. However, these covenants will no longer apply to our Series K, Series L and Series M senior notes at any time that our Pre-Series K Senior Notes and, in the case of the future guarantees covenant, our Credit Facility, are either no longer outstanding or do not otherwise contain comparable requirements. As a result, in certain cases, in the event we in the future secure other senior indebtedness or provide certain subsidiary guarantees at a time when such covenants no longer apply to our Series K, Series L and Series M senior notes, our Series K, Series L and Series M senior notes would effectively be subordinated to such other indebtedness, to the extent of the value of the collateral securing such indebtedness, and not have the benefit of such subsidiary guarantees. See “Risk Factors—The Series M senior notes are effectively subordinated to our secured debt and to the liabilities of our subsidiaries.” For a more detailed description of the covenants that will no longer apply in the event that our Pre-Series K Senior Notes and Credit Facility are no longer outstanding or do not otherwise contain comparable requirements, see “Description of Other Indebtedness—Senior Notes,” “Description of Series M Senior Notes—Certain Covenants—Limitations on Liens” and “Description of Series M Senior Notes—Certain Covenants—Future Guarantees.”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ratings of the Series M senior notes, our credit ratings or the debt markets could adversely affect the price of the Series M senior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price of the Series M senior notes depends on many factors, including:</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ratings with major credit rating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prevailing interest rates being paid by, or the market price for notes issued by, other companies similar to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financial performance and future prospects;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condition of the financial markets.</w:t>
      </w:r>
    </w:p>
    <w:p>
      <w:pPr>
        <w:spacing w:after="0" w:line="17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In general, as market interest rates rise, notes bearing interest at a fixed rate generally decline in value. Consequently, if you purchase the Series M senior notes and market interest rates increase, the market value of your Series M senior notes may decline.</w:t>
      </w:r>
    </w:p>
    <w:p>
      <w:pPr>
        <w:spacing w:after="0" w:line="12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credit rating agencies periodically review and update their ratings for the companies that they follow, including us, and we cannot assure you that any rating will not be changed or withdrawn by a rating agency in the future if, in its judgment, circumstances warrant. The credit rating agencies also evaluate our industry as a whole and may change their credit rating for us based on their overall view of our industry. Moreover, such credit ratings are not recommendations to buy, sell or hold the notes or any other securities. If any credit rating agency downgrades our credit ratings or otherwise indicates that its outlook for that rating is negative, it could have a material adverse effect on the market price of the Series M senior notes and our costs and availability of capital, which could in turn have a material adverse effect on our financial condition, liquidity and results of operations and our ability to satisfy our debt service obligations (including payments on the Series M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Series M senior notes or a future guarantee thereof may be deemed a fraudulent transfer.</w:t>
      </w:r>
    </w:p>
    <w:p>
      <w:pPr>
        <w:spacing w:after="0" w:line="17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Our obligations under the Series M senior notes may be subject to review under federal bankruptcy laws and comparable provisions of state fraudulent transfer laws in the event of our bankruptcy or other financial difficulty. Our Series M senior notes could be voided or claims under the Series M senior notes could be subordinated to all our other debts if, among other things, we, at the time we incurred the indebtedness:</w:t>
      </w:r>
    </w:p>
    <w:p>
      <w:pPr>
        <w:spacing w:after="0" w:line="122"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less than reasonably equivalent value or fair consideration for the incurrence of such indebtedness;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insolvent or rendered insolvent by reason of such incurrence;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engaged in a business or transaction for which our remaining assets constituted unreasonably small capital;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intended to incur, or believed that we would incur, debts beyond our ability to pay such debts as they mature.</w:t>
      </w:r>
    </w:p>
    <w:p>
      <w:pPr>
        <w:spacing w:after="0" w:line="17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Although the Series M senior notes are not guaranteed by any of our direct or indirect subsidiaries, pursuant to the terms of the Indenture governing the Series M senior notes, a guarantee of our indebtedness by any of our subsidiaries in the future would, under certain circumstances, trigger the requirement that the Series M senior notes be guaranteed on a pro rata basis. The guarantees under the Series M senior notes may be subject to review under the same laws as the Series M senior notes in the event of a guarantor’s bankruptcy or other financial difficulty. In that event, if a court were to find that when the guarantee was issued by such guarantor, the factors in clauses (1) and (2) above applied to such guarantor, or that the guarantee was issued with actual intent to hinder, delay or defraud creditors, the court could cause any payment by that guarantor pursuant to its guarantee to be voided and returned to the guarantor, or to a fund for the benefit of the creditors of the guarantor. In such event, the Series M senior notes would be structurally subordinated to the indebtedness and other liabilities of such subsidiary.</w:t>
      </w:r>
    </w:p>
    <w:p>
      <w:pPr>
        <w:spacing w:after="0" w:line="13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measures of insolvency for purposes of these fraudulent transfer laws will vary depending upon the law applied in any proceeding to determine whether a fraudulent transfer has occurred. Generally, however, Host L.P. or a guarantor would be considered insolvent if:</w:t>
      </w:r>
    </w:p>
    <w:p>
      <w:pPr>
        <w:spacing w:after="0" w:line="10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its debts, including contingent liabilities, were greater than the fair saleable value of all of its assets; or</w:t>
      </w:r>
    </w:p>
    <w:p>
      <w:pPr>
        <w:spacing w:after="0" w:line="17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fair value of its assets were less than the amount that would be required to pay its probable liability on its existing debts, including contingent liabilities, as they become absolute and mature;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could not pay its debts as they become due.</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can offer no assurance as to what standard a court would apply in making such determinations or that a court would agree with our conclusions in this regard.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established trading market for the Series M senior notes and there may be limited trading of the Series M senior notes.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Series M senior notes are a new issue of securities with no established trading market. We do not intend to have the Series M senior notes listed on any securities exchange or to arrange for quotation on any automated dealer quotation systems. We have been informed by the underwriters that they intend to make a market in the Series M senior notes after this offering is completed. However, the underwriters are not obligated to do so and may cease their market-making at any time without notice. The liquidity of the trading market in the Series M senior notes and the market price quoted for the Series M senior notes may be adversely affected by:</w:t>
      </w:r>
    </w:p>
    <w:p>
      <w:pPr>
        <w:spacing w:after="0" w:line="1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overall market for investment grade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00"/>
          </w:cols>
          <w:pgMar w:left="320" w:top="1440" w:right="379" w:bottom="1440" w:gutter="0" w:footer="0" w:header="0"/>
        </w:sectPr>
      </w:pPr>
    </w:p>
    <w:bookmarkStart w:id="14" w:name="page15"/>
    <w:bookmarkEnd w:id="14"/>
    <w:p>
      <w:pPr>
        <w:spacing w:after="0" w:line="140"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performance or prospects;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prospects for companies in our industry generally;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holders of the Series M senior notes;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of securities dealers in making a market for the Series M senior notes;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interest rates;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rating of our indebtedness, including the Series M senior notes.</w:t>
      </w:r>
    </w:p>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result, we cannot assure you that an active trading market will develop for the Series M senior notes. If there is limited trading of the Series M senior notes, this may adversely affect the price at which you can sell your Series M senior notes and your ability to sell at the time you want to sell.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and our subsidiaries may incur substantially more debt. This could further exacerbate the risks to our financial condition described above.</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and our subsidiaries may incur significant additional indebtedness (which may be secured) in the future, and the Series M senior notes would be structurally subordinated to any indebtedness incurred by our subsidiaries and effectively subordinated to any such secured indebtedness. Although the Credit Facility imposes certain financial covenants and in certain circumstances, the Indenture governing our Existing Senior Notes and the Series M senior notes limits our ability to incur additional indebtedness, these restrictions are subject to a number of qualifications and exceptions, and the additional indebtedness incurred in compliance with these restrictions could be substantial. We continually evaluate market conditions and may take advantage of the opportunity to issue additional indebtedness, including in the form of additional debt securities, in the near future or at later times, the use of proceeds of which may include repaying certain of our outstanding indebtedness. The holders of our debt that ranks equally with the Series M senior notes will be entitled to share ratably with you in any proceeds distributed in connection with any insolvency, liquidation, reorganization, dissolution or other winding up of our company, and any holders of our secured debt, if any, will rank effectively senior in right of payment with the Series M senior notes to the extent of the value of the assets securing such indebtedness in connection with any insolvency, liquidation, reorganization, dissolution or other winding up of our company. This may have the effect of reducing the amount of proceeds paid to you. These restrictions also will not prevent us from incurring obligations that do not constitute indebtedness. If new debt is added to our current debt levels, the related risks that we now face could intensify. See “Description of Other Indebtedness” and “Description of Series M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20"/>
          </w:cols>
          <w:pgMar w:left="320" w:top="1440" w:right="359" w:bottom="1440" w:gutter="0" w:footer="0" w:header="0"/>
        </w:sectPr>
      </w:pPr>
    </w:p>
    <w:bookmarkStart w:id="15" w:name="page16"/>
    <w:bookmarkEnd w:id="15"/>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estimate the net proceeds from the sale of the Series M senior notes will be approximately $490 million, after deducting the underwriting discount, de minimis original issue discount, fees and expenses payable by us.</w:t>
      </w:r>
    </w:p>
    <w:p>
      <w:pPr>
        <w:spacing w:after="0" w:line="10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from the sale of the Series M senior notes, together with cash on hand, to redeem all of the outstanding $500 million aggregate principal amount of our Series E senior notes at an aggregate redemption price of $500 million, not including accrued interest. The Series E senior notes bear interest at a rate of 4.00% per annum and are scheduled to mature on June 15, 2025.</w:t>
      </w:r>
    </w:p>
    <w:p>
      <w:pPr>
        <w:spacing w:after="0" w:line="122"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Certain of the underwriters or their affiliates may hold our Series E senior notes and, as a result of the redemption thereof as set forth under the heading “Use of Proceeds” in this prospectus supplement, may receive a portion of the net proceeds from this offering. See “Underwriting—Other Relationships.”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080"/>
          </w:cols>
          <w:pgMar w:left="320" w:top="1440" w:right="499" w:bottom="1440" w:gutter="0" w:footer="0" w:header="0"/>
        </w:sectPr>
      </w:pPr>
    </w:p>
    <w:bookmarkStart w:id="16" w:name="page17"/>
    <w:bookmarkEnd w:id="1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March 31, 2025, on an actual basis and on an as adjusted basis to give effect to the estimated $490 million of net proceeds from this offering and the redemption of all of the outstanding $500 million aggregate principal amount of our Series E senior notes, not including accrued interest, together with cash on hand.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20" w:type="dxa"/>
            <w:vAlign w:val="bottom"/>
            <w:gridSpan w:val="5"/>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0" w:type="dxa"/>
            <w:vAlign w:val="bottom"/>
          </w:tcPr>
          <w:p>
            <w:pPr>
              <w:spacing w:after="0"/>
              <w:rPr>
                <w:sz w:val="1"/>
                <w:szCs w:val="1"/>
                <w:color w:val="auto"/>
              </w:rPr>
            </w:pPr>
          </w:p>
        </w:tc>
      </w:tr>
      <w:tr>
        <w:trPr>
          <w:trHeight w:val="23"/>
        </w:trPr>
        <w:tc>
          <w:tcPr>
            <w:tcW w:w="42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020" w:type="dxa"/>
            <w:vAlign w:val="bottom"/>
            <w:tcBorders>
              <w:bottom w:val="single" w:sz="8" w:color="CCEEFF"/>
            </w:tcBorders>
            <w:gridSpan w:val="2"/>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gridSpan w:val="2"/>
            <w:vMerge w:val="restart"/>
          </w:tcPr>
          <w:p>
            <w:pPr>
              <w:ind w:left="20"/>
              <w:spacing w:after="0" w:line="243" w:lineRule="exact"/>
              <w:rPr>
                <w:sz w:val="20"/>
                <w:szCs w:val="20"/>
                <w:color w:val="auto"/>
              </w:rPr>
            </w:pPr>
            <w:r>
              <w:rPr>
                <w:rFonts w:ascii="Times New Roman" w:cs="Times New Roman" w:eastAsia="Times New Roman" w:hAnsi="Times New Roman"/>
                <w:sz w:val="18"/>
                <w:szCs w:val="18"/>
                <w:color w:val="auto"/>
              </w:rPr>
              <w:t>4% Series E senior notes due June 2025</w:t>
            </w:r>
            <w:r>
              <w:rPr>
                <w:rFonts w:ascii="Times New Roman" w:cs="Times New Roman" w:eastAsia="Times New Roman" w:hAnsi="Times New Roman"/>
                <w:sz w:val="23"/>
                <w:szCs w:val="23"/>
                <w:color w:val="auto"/>
                <w:vertAlign w:val="superscript"/>
              </w:rPr>
              <w:t>(2)</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2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F senior notes due February 2026</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3.375% Series H senior notes due December 2029</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I senior notes due September 2030</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J senior notes due December 2031</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K senior notes due July 2034</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L senior notes due April 2035</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76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Series M senior notes due June 2032 offered hereby</w:t>
            </w:r>
            <w:r>
              <w:rPr>
                <w:rFonts w:ascii="Times New Roman" w:cs="Times New Roman" w:eastAsia="Times New Roman" w:hAnsi="Times New Roman"/>
                <w:sz w:val="23"/>
                <w:szCs w:val="23"/>
                <w:color w:val="auto"/>
                <w:vertAlign w:val="superscript"/>
              </w:rPr>
              <w:t>(3)</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senior notes</w:t>
            </w:r>
          </w:p>
        </w:tc>
        <w:tc>
          <w:tcPr>
            <w:tcW w:w="9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facility revolver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loans</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debt</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3"/>
                <w:szCs w:val="23"/>
                <w:color w:val="auto"/>
                <w:vertAlign w:val="superscript"/>
              </w:rPr>
              <w:t>(4)</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Limited partnership interest of third parties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4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Host L.P. capital:</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Limited partner</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of Host L.P. capital</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Non-controlling interests- consolidated partnerships</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1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As adjusted cash and cash equivalents reflects the following:</w:t>
      </w:r>
    </w:p>
    <w:p>
      <w:pPr>
        <w:spacing w:after="0" w:line="4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62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rPr>
              <w:t>428</w:t>
            </w:r>
          </w:p>
        </w:tc>
      </w:tr>
      <w:tr>
        <w:trPr>
          <w:trHeight w:val="195"/>
        </w:trPr>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Series M senior notes offered hereby</w:t>
            </w:r>
          </w:p>
        </w:tc>
        <w:tc>
          <w:tcPr>
            <w:tcW w:w="620" w:type="dxa"/>
            <w:vAlign w:val="bottom"/>
          </w:tcPr>
          <w:p>
            <w:pPr>
              <w:spacing w:after="0"/>
              <w:rPr>
                <w:sz w:val="16"/>
                <w:szCs w:val="16"/>
                <w:color w:val="auto"/>
              </w:rPr>
            </w:pPr>
          </w:p>
        </w:tc>
        <w:tc>
          <w:tcPr>
            <w:tcW w:w="880" w:type="dxa"/>
            <w:vAlign w:val="bottom"/>
          </w:tcPr>
          <w:p>
            <w:pPr>
              <w:jc w:val="center"/>
              <w:ind w:left="468"/>
              <w:spacing w:after="0"/>
              <w:rPr>
                <w:sz w:val="20"/>
                <w:szCs w:val="20"/>
                <w:color w:val="auto"/>
              </w:rPr>
            </w:pPr>
            <w:r>
              <w:rPr>
                <w:rFonts w:ascii="Times New Roman" w:cs="Times New Roman" w:eastAsia="Times New Roman" w:hAnsi="Times New Roman"/>
                <w:sz w:val="14"/>
                <w:szCs w:val="14"/>
                <w:color w:val="auto"/>
              </w:rPr>
              <w:t>490</w:t>
            </w:r>
          </w:p>
        </w:tc>
      </w:tr>
      <w:tr>
        <w:trPr>
          <w:trHeight w:val="21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 payment on April 15, 2025</w:t>
            </w: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448"/>
              <w:spacing w:after="0"/>
              <w:rPr>
                <w:sz w:val="20"/>
                <w:szCs w:val="20"/>
                <w:color w:val="auto"/>
              </w:rPr>
            </w:pPr>
            <w:r>
              <w:rPr>
                <w:rFonts w:ascii="Times New Roman" w:cs="Times New Roman" w:eastAsia="Times New Roman" w:hAnsi="Times New Roman"/>
                <w:sz w:val="14"/>
                <w:szCs w:val="14"/>
                <w:color w:val="auto"/>
              </w:rPr>
              <w:t>(139)</w:t>
            </w:r>
          </w:p>
        </w:tc>
      </w:tr>
      <w:tr>
        <w:trPr>
          <w:trHeight w:val="196"/>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Redemption of Series E senior notes, including accrued interest of approximately $10 million</w:t>
            </w:r>
          </w:p>
        </w:tc>
        <w:tc>
          <w:tcPr>
            <w:tcW w:w="6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left="448"/>
              <w:spacing w:after="0"/>
              <w:rPr>
                <w:sz w:val="20"/>
                <w:szCs w:val="20"/>
                <w:color w:val="auto"/>
              </w:rPr>
            </w:pPr>
            <w:r>
              <w:rPr>
                <w:rFonts w:ascii="Times New Roman" w:cs="Times New Roman" w:eastAsia="Times New Roman" w:hAnsi="Times New Roman"/>
                <w:sz w:val="14"/>
                <w:szCs w:val="14"/>
                <w:color w:val="auto"/>
              </w:rPr>
              <w:t>(510)</w:t>
            </w:r>
          </w:p>
        </w:tc>
      </w:tr>
      <w:tr>
        <w:trPr>
          <w:trHeight w:val="228"/>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adjusted balance at March 31, 2025</w:t>
            </w:r>
          </w:p>
        </w:tc>
        <w:tc>
          <w:tcPr>
            <w:tcW w:w="620" w:type="dxa"/>
            <w:vAlign w:val="bottom"/>
            <w:tcBorders>
              <w:bottom w:val="single" w:sz="8" w:color="auto"/>
            </w:tcBorders>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center"/>
              <w:ind w:left="468"/>
              <w:spacing w:after="0"/>
              <w:rPr>
                <w:sz w:val="20"/>
                <w:szCs w:val="20"/>
                <w:color w:val="auto"/>
              </w:rPr>
            </w:pPr>
            <w:r>
              <w:rPr>
                <w:rFonts w:ascii="Times New Roman" w:cs="Times New Roman" w:eastAsia="Times New Roman" w:hAnsi="Times New Roman"/>
                <w:sz w:val="14"/>
                <w:szCs w:val="14"/>
                <w:color w:val="auto"/>
              </w:rPr>
              <w:t>269</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340" w:hanging="332"/>
        <w:spacing w:after="0" w:line="301"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redemption of $500 million of our Series E senior notes in connection with this offering. The cash payment reflects the $500 million of the principal redeemed and accrued interest of approximately $10 million.</w:t>
      </w:r>
    </w:p>
    <w:p>
      <w:pPr>
        <w:ind w:left="340" w:right="440" w:hanging="332"/>
        <w:spacing w:after="0" w:line="254"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issuance of $500 million of 5.700% Series M senior notes due 2032 offered hereby. The cash proceeds are net of $10 million of expected offering expenses, including the underwriting discount, de minimis original issue discount, and other offering expenses.</w:t>
      </w:r>
    </w:p>
    <w:p>
      <w:pPr>
        <w:ind w:left="340" w:right="460" w:hanging="332"/>
        <w:spacing w:after="0" w:line="278" w:lineRule="auto"/>
        <w:tabs>
          <w:tab w:leader="none" w:pos="3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debt excludes approximately $559 million of operating lease liabilities, $34 million due to managers, other liabilities of $222 million, and $261 million of accounts payable and accrued expenses, which was reduced to $116 million of accounts payable and accrued expenses following the transactions noted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OTHER INDEBTEDNESS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January 4, 2023, we entered into the sixth amended and restated senior revolving credit and term loan facility, with Bank of America, N.A., as administrative agent, and certain other agents and lenders (the “</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The Credit Facility allows for revolver borrowings in an aggregate principal amount of up to $1.5 billion and a term loan facility of $1 billion (which is fully utilized). The Credit Facility also provides, among other things, for:</w:t>
      </w:r>
    </w:p>
    <w:p>
      <w:pPr>
        <w:spacing w:after="0" w:line="126" w:lineRule="exact"/>
        <w:rPr>
          <w:sz w:val="20"/>
          <w:szCs w:val="20"/>
          <w:color w:val="auto"/>
        </w:rPr>
      </w:pPr>
    </w:p>
    <w:p>
      <w:pPr>
        <w:ind w:left="660" w:right="20" w:hanging="328"/>
        <w:spacing w:after="0" w:line="281" w:lineRule="auto"/>
        <w:tabs>
          <w:tab w:leader="none" w:pos="6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interest rate on all U.S. dollar borrowings based on SOFR (plus a credit spread adjustment of 10 basis points) or a base rate plus, in each case, a margin that varies according to our unsecured long-term debt rating, with such margin being (1) in the case of revolver borrowings, a margin ranging from 72.5 to 140 basis points for SOFR borrowings or from zero to 40 basis points for base rate borrowings and (2) in the case of the term loan borrowings, a margin ranging from 80 to 160 basis points for SOFR borrowings or from zero to 60 basis points for base rate borrowings;</w:t>
      </w:r>
    </w:p>
    <w:p>
      <w:pPr>
        <w:spacing w:after="0" w:line="110" w:lineRule="exact"/>
        <w:rPr>
          <w:rFonts w:ascii="Times New Roman" w:cs="Times New Roman" w:eastAsia="Times New Roman" w:hAnsi="Times New Roman"/>
          <w:sz w:val="17"/>
          <w:szCs w:val="17"/>
          <w:color w:val="auto"/>
        </w:rPr>
      </w:pPr>
    </w:p>
    <w:p>
      <w:pPr>
        <w:ind w:left="660" w:right="1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revolver portion of our Credit Facility, a facility fee payable on the total amount of the revolving credit facility commitment at a rate ranging from 12.5 to 30 basis points, with the actual rate determined according to our unsecured long-term debt rating;</w:t>
      </w:r>
    </w:p>
    <w:p>
      <w:pPr>
        <w:spacing w:after="0" w:line="107" w:lineRule="exact"/>
        <w:rPr>
          <w:rFonts w:ascii="Times New Roman" w:cs="Times New Roman" w:eastAsia="Times New Roman" w:hAnsi="Times New Roman"/>
          <w:sz w:val="18"/>
          <w:szCs w:val="18"/>
          <w:color w:val="auto"/>
        </w:rPr>
      </w:pPr>
    </w:p>
    <w:p>
      <w:pPr>
        <w:ind w:left="660" w:right="20" w:hanging="328"/>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sustainability pricing adjustment that (1) in the case of borrowings under the revolver portion of our Credit Facility, can result in an increase or decrease of the interest rate applicable to revolving loans of up to 4 basis points and an increase or decrease of the facility fee of up to 1.0 basis point and (2) in the case of the term loan borrowings, can result in an increase or decrease of the interest rate applicable to term loans of up to 5 basis points, in each case, with the amount of such adjustment to be determined annually on the basis of an annual audited report of Host L.P.’s performance against targets established in the Credit Facility for (i) the percentage of our consolidated portfolio with green building certifications and (ii) the percentage of electricity used at all our consolidated properties that is generated by renewable resources;</w:t>
      </w:r>
    </w:p>
    <w:p>
      <w:pPr>
        <w:spacing w:after="0" w:line="133" w:lineRule="exact"/>
        <w:rPr>
          <w:rFonts w:ascii="Times New Roman" w:cs="Times New Roman" w:eastAsia="Times New Roman" w:hAnsi="Times New Roman"/>
          <w:sz w:val="18"/>
          <w:szCs w:val="18"/>
          <w:color w:val="auto"/>
        </w:rPr>
      </w:pPr>
    </w:p>
    <w:p>
      <w:pPr>
        <w:ind w:left="660" w:hanging="328"/>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maturity date of (1) in the case of the revolver portion of our Credit Facility, January 4, 2027, which date may be extended by up to a year by the exercise of either (i) a 1-year extension option or (ii) up to two 6-month extension options, in each case, subject to certain customary conditions, including the payment of an extension fee; (2) in the case of one term loan tranche, January 4, 2027, which date may be extended up to a year by the exercise of one 1-year extension option, which is subject to certain customary conditions, including the payment of an extension fee; and (3) in the case of the second term loan tranche, January 4, 2028, which date may not be extended;</w:t>
      </w:r>
    </w:p>
    <w:p>
      <w:pPr>
        <w:spacing w:after="0" w:line="129"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currency subfacility for Canadian dollars, Australian dollars, Euros, British pounds sterling and, if available to the lenders, Mexican pesos of up to the foreign currency equivalent of $500 million, subject to a lower amount in the case of Mexican pesos borrowings;</w:t>
      </w:r>
    </w:p>
    <w:p>
      <w:pPr>
        <w:spacing w:after="0" w:line="10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for Host L.P. to add in the future $500 million of commitments which may be used for additional borrowings under the revolver portion of our Credit Facility and/or term loans, subject to obtaining additional loan commitments (which we have not currently obtained) and the satisfaction of certain conditions specified in the Credit Facility;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subfacility of up to $100 million for swingline borrowings and a subfacility of up to $100 million for issuances of letters of credit;</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required scheduled amortization payments prior to the maturity date of the revolver portion of our Credit Facility or either term loan tranche;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covenants (including covenants concerning leverage, fixed charge coverage and unsecured interest coverage), including that (1) our fixed charge coverage ratio may not be less than 1.25:1.00; (2)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20"/>
          </w:cols>
          <w:pgMar w:left="320" w:top="1440" w:right="359" w:bottom="1440" w:gutter="0" w:footer="0" w:header="0"/>
        </w:sectPr>
      </w:pPr>
    </w:p>
    <w:bookmarkStart w:id="18" w:name="page19"/>
    <w:bookmarkEnd w:id="18"/>
    <w:p>
      <w:pPr>
        <w:spacing w:after="0" w:line="140" w:lineRule="exact"/>
        <w:rPr>
          <w:sz w:val="20"/>
          <w:szCs w:val="20"/>
          <w:color w:val="auto"/>
        </w:rPr>
      </w:pPr>
    </w:p>
    <w:p>
      <w:pPr>
        <w:ind w:left="660"/>
        <w:spacing w:after="0" w:line="254" w:lineRule="auto"/>
        <w:rPr>
          <w:sz w:val="20"/>
          <w:szCs w:val="20"/>
          <w:color w:val="auto"/>
        </w:rPr>
      </w:pPr>
      <w:r>
        <w:rPr>
          <w:rFonts w:ascii="Times New Roman" w:cs="Times New Roman" w:eastAsia="Times New Roman" w:hAnsi="Times New Roman"/>
          <w:sz w:val="18"/>
          <w:szCs w:val="18"/>
          <w:color w:val="auto"/>
        </w:rPr>
        <w:t>leverage ratio may not exceed 7.25:1.00 and (3) our unsecured interest coverage ratio may not be less than (x) 1.75:1.00 if our leverage ratio is less than 7.00:1.00 or (y) 1.50:1.00 if our leverage ratio is equal to or greater than 7.00:1.00. The calculations for these financial covenants are performed based on pro forma results for the prior four fiscal quarters, giving effect to transactions such as acquisitions, dispositions and financings as if they had occurred at the beginning of the period. Under the terms of the Credit Facility, interest expense excludes items such as the gains and losses on the extinguishment of debt, deferred financing charges related to the Existing Senior Notes or the Credit Facility and non-cash interest expense, all of which are included in interest expense on our consolidated statements of operations. Additionally, total debt used in the calculation of our leverage ratio is based on a “net debt” concept, under which cash and cash equivalents in excess of $100 million are deducted from our total debt balance.</w:t>
      </w:r>
    </w:p>
    <w:p>
      <w:pPr>
        <w:spacing w:after="0" w:line="13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Borrowings under the Credit Facility may be used for working capital, repayment of debt and other general corporate purposes, including for the consummation of acquisitions. As of March 31, 2025, we had $1.5 billion of available capacity under the revolver portion of the Credit Facility, along with the $1.0 billion in term loans outstanding.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r>
        <w:rPr>
          <w:rFonts w:ascii="Times New Roman" w:cs="Times New Roman" w:eastAsia="Times New Roman" w:hAnsi="Times New Roman"/>
          <w:sz w:val="18"/>
          <w:szCs w:val="18"/>
          <w:color w:val="auto"/>
        </w:rPr>
        <w:t>. Voluntary prepayments of the loans under the Credit Facility are permitted in whole or in part without premium or penalty.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r>
        <w:rPr>
          <w:rFonts w:ascii="Times New Roman" w:cs="Times New Roman" w:eastAsia="Times New Roman" w:hAnsi="Times New Roman"/>
          <w:sz w:val="18"/>
          <w:szCs w:val="18"/>
          <w:color w:val="auto"/>
        </w:rPr>
        <w:t>. The following table summarizes the results of the financial tests required by the Credit Facility and our actual credit ratios as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40" w:type="dxa"/>
            <w:vAlign w:val="bottom"/>
          </w:tcPr>
          <w:p>
            <w:pPr>
              <w:spacing w:after="0"/>
              <w:rPr>
                <w:sz w:val="16"/>
                <w:szCs w:val="16"/>
                <w:color w:val="auto"/>
              </w:rPr>
            </w:pP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Actual Ratio</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Covenant Requirement</w:t>
            </w:r>
          </w:p>
        </w:tc>
      </w:tr>
      <w:tr>
        <w:trPr>
          <w:trHeight w:val="23"/>
        </w:trPr>
        <w:tc>
          <w:tcPr>
            <w:tcW w:w="75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23"/>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Leverage ratio</w:t>
            </w: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2.8x</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Maximum ratio of 7.25x</w:t>
            </w:r>
          </w:p>
        </w:tc>
      </w:tr>
      <w:tr>
        <w:trPr>
          <w:trHeight w:val="229"/>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Fixed charge coverage ratio</w:t>
            </w: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5.5x</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Minimum ratio of 1.25x</w:t>
            </w:r>
          </w:p>
        </w:tc>
      </w:tr>
      <w:tr>
        <w:trPr>
          <w:trHeight w:val="230"/>
        </w:trPr>
        <w:tc>
          <w:tcPr>
            <w:tcW w:w="87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Unsecured interest coverage ratio</w:t>
            </w:r>
            <w:r>
              <w:rPr>
                <w:rFonts w:ascii="Times New Roman" w:cs="Times New Roman" w:eastAsia="Times New Roman" w:hAnsi="Times New Roman"/>
                <w:sz w:val="23"/>
                <w:szCs w:val="23"/>
                <w:color w:val="auto"/>
                <w:vertAlign w:val="superscript"/>
              </w:rPr>
              <w:t>(a)</w:t>
            </w:r>
          </w:p>
        </w:tc>
        <w:tc>
          <w:tcPr>
            <w:tcW w:w="4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7.1x</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Minimum ratio of 1.75x</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at any time our leverage ratio is above 7.0x, our minimum unsecured interest coverage ratio requirement will decrease to 1.50x.</w:t>
      </w:r>
    </w:p>
    <w:p>
      <w:pPr>
        <w:spacing w:after="0" w:line="1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Other Covenants and Events of Default</w:t>
      </w:r>
      <w:r>
        <w:rPr>
          <w:rFonts w:ascii="Times New Roman" w:cs="Times New Roman" w:eastAsia="Times New Roman" w:hAnsi="Times New Roman"/>
          <w:sz w:val="18"/>
          <w:szCs w:val="18"/>
          <w:color w:val="auto"/>
        </w:rPr>
        <w:t>. The Credit Facility imposes restrictions on customary matters. Certain covenants are less restrictive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our leverage ratio is below 6.0x. At any time that our leverage ratio is below 6.0x, acquisitions, investments, dividends and distributions generally are permitted except where they would result in a breach of the financial covenants, calculated on a pro forma basis. The Credit Facility also includes financial covenant tests applicable to the incurrence of debt generally that are consistent with the limitations applicable under our senior notes indenture (as described below).</w:t>
      </w:r>
    </w:p>
    <w:p>
      <w:pPr>
        <w:spacing w:after="0" w:line="1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Credit Facility also includes usual and customary events of default for facilities of this nature, and provides that, upon the occurrence and continuance of an event of default, payment of all amounts due under the Credit Facility may be accelerated and the lenders’ commitments may be terminated. In addition, upon the occurrence of certain insolvency or bankruptcy related events of default, all amounts due under the Credit Facility will automatically become due and payable and the lenders’ commitments will automatically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had the following series of Existing Senior Notes outstanding: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Principal Amount</w:t>
            </w:r>
          </w:p>
        </w:tc>
      </w:tr>
      <w:tr>
        <w:trPr>
          <w:trHeight w:val="195"/>
        </w:trPr>
        <w:tc>
          <w:tcPr>
            <w:tcW w:w="420" w:type="dxa"/>
            <w:vAlign w:val="bottom"/>
            <w:tcBorders>
              <w:bottom w:val="single" w:sz="8" w:color="CCEEFF"/>
            </w:tcBorders>
          </w:tcPr>
          <w:p>
            <w:pPr>
              <w:spacing w:after="0"/>
              <w:rPr>
                <w:sz w:val="16"/>
                <w:szCs w:val="16"/>
                <w:color w:val="auto"/>
              </w:rPr>
            </w:pPr>
          </w:p>
        </w:tc>
        <w:tc>
          <w:tcPr>
            <w:tcW w:w="9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8"/>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 Series E senior notes due June 2025</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F senior notes due February 2026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3.375% Series H senior notes due December 2029</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I senior notes due September 2030</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30"/>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w:t>
            </w:r>
          </w:p>
        </w:tc>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J senior notes due December 2031</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29"/>
        </w:trPr>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5.7%</w:t>
            </w:r>
          </w:p>
        </w:tc>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Series K senior notes due July 2034</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9"/>
        </w:trPr>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5.5%</w:t>
            </w:r>
          </w:p>
        </w:tc>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Series L senior notes due April 2035</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3"/>
        </w:trPr>
        <w:tc>
          <w:tcPr>
            <w:tcW w:w="96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r>
      <w:tr>
        <w:trPr>
          <w:trHeight w:val="21"/>
        </w:trPr>
        <w:tc>
          <w:tcPr>
            <w:tcW w:w="4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60" w:hanging="332"/>
        <w:spacing w:after="0" w:line="278" w:lineRule="auto"/>
        <w:tabs>
          <w:tab w:leader="none" w:pos="332"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face value of the total Existing Senior Notes outstanding, not including the unamortized portion of original issue discounts and deferred financing costs of approximately $55 million, is $4.1 billion as of March 31, 2025.</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following summary is a description of the material provisions of the Indenture and the related supplemental indentures governing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Senior Notes, which we refer to collectively as the “senior notes indenture.” We pay interest on each series of our Existing Senior Notes semi-annually in arrears at the respective annual rates indicated on the table above. Under the terms of our senior notes indenture, our Existing Senior Notes are equal in right of payment with all of our senior unsecured indebtedness and senior to all of our subordinated obligations.</w:t>
      </w:r>
    </w:p>
    <w:p>
      <w:pPr>
        <w:spacing w:after="0" w:line="12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Currently there are no guarantees provided with respect to the Existing Senior Notes, but we have agreed under the senior notes indenture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Host L.P. subsidiaries which guarantee other Host L.P. debt are required to similarly provide guarantees with respect to the Existing Senior Notes. In the event that the guarantees of other indebtedness are released, under the terms of the senior notes indenture, such guarantees will also be released under the Existing Senior Notes without the consent of the holders of the Existing Senior Notes. However, this covenant will no longer apply to the Series K, Series L and Series M senior notes at any time following the elimination of the future guarantees covenant from our Pre-Series K Senior Notes (including upon redemption or repayment in full) and from the Credit Facility. See “Description of Series M Senior Notes.”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 for Senior Notes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Existing Senior Notes have covenants customary for investment grade debt, substantially the same as the covenants for the Series M senior notes offered hereby, other than (i) the ability to incur permitted Refinancing Indebtedness (as defined herein) under our debt incurrence covenants, which is permitted only under the debt incurrence covenants for the Series J, Series K, Series L and Series M senior notes, (ii) our Series I and Series J senior notes are both subject to certain interest rate adjustments based on certain ratings events, and (iii) certain of the covenants applicable to our Existing Senior Notes relating to liens and subsidiary guarantees (as noted above under “—Guarantees”) will no longer apply to our Series K, Series L and Series M senior notes at any time following the elimination of such covenants from our Pre-Series K Senior Notes (including upon redemption or repayment in full) and, in the case of the future guarantees covenant, from our Credit Facility. See “Description of Series M Senior Notes.”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Under the terms of the Existing Senior Notes, Host L.P.’s ability to incur indebtedness is subject to restrictions and the satisfaction of various conditions, including the achievement of an EBITDA-to-interest coverage ratio of at least 1.5x by Host L.P. As calculated, this ratio excludes from interest expense items such as call premiums and deferred financing charges that are included in interest expense on Host L.P.’s consolidated statements of operations. In addition, the calculation is based on Host L.P.’s pro forma results for the four prior fiscal quarters, giving effect to certain transactions, such as acquisitions, dispositions and financings, as if they had occurred at the beginning of the period. Other covenants limiting Host L.P.’s ability to incur indebtedness include maintaining total indebtedness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less than 65% of adjusted total assets (using undepreciated real estate book values) and maintaining secured indebtedness of less than 40% of adjusted total assets (using undepreciated real estate book values). So long as Host L.P. maintains the required level of interest coverage and satisfies these and other conditions in the senior notes indenture, it may incur additional debt. In addition, Host L.P. must at all times maintain total unencumbered assets of at least 150% of the aggregate principal amount of outstanding unsecured indebtedness of Host L.P. and its subsidiaries.</w:t>
      </w:r>
    </w:p>
    <w:p>
      <w:pPr>
        <w:spacing w:after="0" w:line="12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actual credit ratios calculated pursuant to the indenture financial tests for our Existing Senior Notes as of March 31, 2025:</w:t>
      </w:r>
    </w:p>
    <w:p>
      <w:pPr>
        <w:sectPr>
          <w:pgSz w:w="11900" w:h="16838" w:orient="portrait"/>
          <w:cols w:equalWidth="0" w:num="1">
            <w:col w:w="11220"/>
          </w:cols>
          <w:pgMar w:left="320" w:top="1440" w:right="359" w:bottom="1440" w:gutter="0" w:footer="0" w:header="0"/>
        </w:sectPr>
      </w:pP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Unencumbered assets to total unsecured indebtedness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indebtedness to adjusted 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Secured indebtedness to adjusted total assets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EBITDA-to-interest coverage ratio</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Actual Ratio</w:t>
      </w:r>
      <w:r>
        <w:rPr>
          <w:sz w:val="20"/>
          <w:szCs w:val="20"/>
          <w:color w:val="auto"/>
        </w:rPr>
        <w:tab/>
      </w:r>
      <w:r>
        <w:rPr>
          <w:rFonts w:ascii="Times New Roman" w:cs="Times New Roman" w:eastAsia="Times New Roman" w:hAnsi="Times New Roman"/>
          <w:sz w:val="14"/>
          <w:szCs w:val="14"/>
          <w:b w:val="1"/>
          <w:bCs w:val="1"/>
          <w:color w:val="auto"/>
        </w:rPr>
        <w:t>Covenant Requirement</w:t>
      </w:r>
    </w:p>
    <w:p>
      <w:pPr>
        <w:spacing w:after="0" w:line="61"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18"/>
          <w:szCs w:val="18"/>
          <w:color w:val="auto"/>
        </w:rPr>
        <w:t>439 %</w:t>
      </w:r>
      <w:r>
        <w:rPr>
          <w:sz w:val="20"/>
          <w:szCs w:val="20"/>
          <w:color w:val="auto"/>
        </w:rPr>
        <w:tab/>
      </w:r>
      <w:r>
        <w:rPr>
          <w:rFonts w:ascii="Times New Roman" w:cs="Times New Roman" w:eastAsia="Times New Roman" w:hAnsi="Times New Roman"/>
          <w:sz w:val="17"/>
          <w:szCs w:val="17"/>
          <w:color w:val="auto"/>
        </w:rPr>
        <w:t>Minimum ratio of 150%</w:t>
      </w:r>
    </w:p>
    <w:p>
      <w:pPr>
        <w:spacing w:after="0" w:line="27" w:lineRule="exact"/>
        <w:rPr>
          <w:sz w:val="20"/>
          <w:szCs w:val="20"/>
          <w:color w:val="auto"/>
        </w:rPr>
      </w:pPr>
    </w:p>
    <w:p>
      <w:pPr>
        <w:ind w:left="840"/>
        <w:spacing w:after="0"/>
        <w:tabs>
          <w:tab w:leader="none" w:pos="1480" w:val="left"/>
        </w:tabs>
        <w:rPr>
          <w:sz w:val="20"/>
          <w:szCs w:val="20"/>
          <w:color w:val="auto"/>
        </w:rPr>
      </w:pPr>
      <w:r>
        <w:rPr>
          <w:rFonts w:ascii="Times New Roman" w:cs="Times New Roman" w:eastAsia="Times New Roman" w:hAnsi="Times New Roman"/>
          <w:sz w:val="18"/>
          <w:szCs w:val="18"/>
          <w:color w:val="auto"/>
        </w:rPr>
        <w:t>23 %</w:t>
        <w:tab/>
        <w:t>Maximum ratio of 65%</w:t>
      </w:r>
    </w:p>
    <w:p>
      <w:pPr>
        <w:spacing w:after="0" w:line="23" w:lineRule="exact"/>
        <w:rPr>
          <w:sz w:val="20"/>
          <w:szCs w:val="20"/>
          <w:color w:val="auto"/>
        </w:rPr>
      </w:pPr>
    </w:p>
    <w:p>
      <w:pPr>
        <w:ind w:left="880"/>
        <w:spacing w:after="0"/>
        <w:tabs>
          <w:tab w:leader="none" w:pos="1480" w:val="left"/>
        </w:tabs>
        <w:rPr>
          <w:sz w:val="20"/>
          <w:szCs w:val="20"/>
          <w:color w:val="auto"/>
        </w:rPr>
      </w:pPr>
      <w:r>
        <w:rPr>
          <w:rFonts w:ascii="Times New Roman" w:cs="Times New Roman" w:eastAsia="Times New Roman" w:hAnsi="Times New Roman"/>
          <w:sz w:val="18"/>
          <w:szCs w:val="18"/>
          <w:color w:val="auto"/>
        </w:rPr>
        <w:t>&lt;1%</w:t>
        <w:tab/>
        <w:t>Maximum ratio of 40%</w:t>
      </w:r>
    </w:p>
    <w:p>
      <w:pPr>
        <w:spacing w:after="0" w:line="23" w:lineRule="exact"/>
        <w:rPr>
          <w:sz w:val="20"/>
          <w:szCs w:val="20"/>
          <w:color w:val="auto"/>
        </w:rPr>
      </w:pPr>
    </w:p>
    <w:p>
      <w:pPr>
        <w:ind w:left="900"/>
        <w:spacing w:after="0"/>
        <w:tabs>
          <w:tab w:leader="none" w:pos="1500" w:val="left"/>
        </w:tabs>
        <w:rPr>
          <w:sz w:val="20"/>
          <w:szCs w:val="20"/>
          <w:color w:val="auto"/>
        </w:rPr>
      </w:pPr>
      <w:r>
        <w:rPr>
          <w:rFonts w:ascii="Times New Roman" w:cs="Times New Roman" w:eastAsia="Times New Roman" w:hAnsi="Times New Roman"/>
          <w:sz w:val="18"/>
          <w:szCs w:val="18"/>
          <w:color w:val="auto"/>
        </w:rPr>
        <w:t>7.0x</w:t>
      </w:r>
      <w:r>
        <w:rPr>
          <w:sz w:val="20"/>
          <w:szCs w:val="20"/>
          <w:color w:val="auto"/>
        </w:rPr>
        <w:tab/>
      </w:r>
      <w:r>
        <w:rPr>
          <w:rFonts w:ascii="Times New Roman" w:cs="Times New Roman" w:eastAsia="Times New Roman" w:hAnsi="Times New Roman"/>
          <w:sz w:val="18"/>
          <w:szCs w:val="18"/>
          <w:color w:val="auto"/>
        </w:rPr>
        <w:t>Minimum ratio of 1.5x</w:t>
      </w:r>
    </w:p>
    <w:p>
      <w:pPr>
        <w:spacing w:after="0" w:line="200" w:lineRule="exact"/>
        <w:rPr>
          <w:sz w:val="20"/>
          <w:szCs w:val="20"/>
          <w:color w:val="auto"/>
        </w:rPr>
      </w:pPr>
    </w:p>
    <w:p>
      <w:pPr>
        <w:sectPr>
          <w:pgSz w:w="11900" w:h="16838" w:orient="portrait"/>
          <w:cols w:equalWidth="0" w:num="2">
            <w:col w:w="7160" w:space="720"/>
            <w:col w:w="3340"/>
          </w:cols>
          <w:pgMar w:left="320" w:top="1440" w:right="359" w:bottom="1440" w:gutter="0" w:footer="0" w:header="0"/>
          <w:type w:val="continuous"/>
        </w:sectPr>
      </w:pPr>
    </w:p>
    <w:p>
      <w:pPr>
        <w:spacing w:after="0" w:line="6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were in compliance with all of the financial ratios applicable to our Existing Senior Notes as of March 31, 2025 in order for us to be able to incur additional indebtedness.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restrictions on our ability to pay dividends.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Mortgage Debt, Including Unconsolidated Joint Ventures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structured our debt profile to maintain a balanced maturity schedule and to minimize the number of assets that are encumbered by mortgage debt. At March 31, 2025, we own one consolidated property that is encumbered by mortgage debt. All of our mortgage debt is recourse solely to specific assets, except in instances of fraud, misapplication of funds and other customary recourse provisions. As of March 31, 2025, our mortgage debt has an interest rate of 4.67% and matures in 2027, with principal and interest payments due monthly. We also own non-controlling interests in joint ventures that are not consolidated and that are accounted for under the equity method. The portion of the mortgage and other debt of these joint ventures attributable to us, based on our ownership percentage thereof, was $282 million at March 31, 2025. The debt of our unconsolidated joint ventures is non-recourse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20"/>
          </w:cols>
          <w:pgMar w:left="320" w:top="1440" w:right="359" w:bottom="1440" w:gutter="0" w:footer="0" w:header="0"/>
          <w:type w:val="continuous"/>
        </w:sectPr>
      </w:pPr>
    </w:p>
    <w:bookmarkStart w:id="21" w:name="page22"/>
    <w:bookmarkEnd w:id="21"/>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SERIES M SENIOR NOTES</w:t>
      </w:r>
    </w:p>
    <w:p>
      <w:pPr>
        <w:spacing w:after="0" w:line="173"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terms of the Series M senior notes (referred to in the accompanying prospectus as the “</w:t>
      </w: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supplements, and to the extent inconsistent, replaces the description of the general terms and provisions of the debt securities set forth in the accompanying prospectus. For purposes of this section, references to “Host L.P.,” “we,” “our,” or “us” refer only to Host Hotels &amp; Resorts, L.P. and its successors in accordance with the terms of the Indenture (as hereinafter defined) and not to our subsidiaries.</w:t>
      </w:r>
    </w:p>
    <w:p>
      <w:pPr>
        <w:spacing w:after="0" w:line="12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will issue the Series M senior notes pursuant to an indenture, dated as of May 15, 2015, by and between Host Hotels &amp; Resorts, L.P. and The Bank of New York Mellon, as trustee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as amended or supplemented from time to time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The terms of the Indenture include those made part of the Indenture by reference to the Trust Indenture Act of 1939, as amended. The following description is a summary of the material provisions of the Indenture and is not complete. The Indenture has been incorporated by reference as an exhibit to the registration statement, of which this prospectus supplement forms a part. You should read the Indenture for provisions that may be important to you. Capitalized terms used in the summary have the meanings specified in the accompanying prospectus or the Indenture.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will initially issue $500 million aggregate principal amount of Series M senior notes. The Indenture will provide that, in addition to the $500 million aggregate principal amount of Series M senior notes being issued on the Series Issue Date, we may also issue additional Series M senior notes having identical terms and conditions to the Series M senior notes offered hereby from time to time after this offering (the “</w:t>
      </w:r>
      <w:r>
        <w:rPr>
          <w:rFonts w:ascii="Times New Roman" w:cs="Times New Roman" w:eastAsia="Times New Roman" w:hAnsi="Times New Roman"/>
          <w:sz w:val="18"/>
          <w:szCs w:val="18"/>
          <w:i w:val="1"/>
          <w:iCs w:val="1"/>
          <w:color w:val="auto"/>
        </w:rPr>
        <w:t>Additional Notes</w:t>
      </w:r>
      <w:r>
        <w:rPr>
          <w:rFonts w:ascii="Times New Roman" w:cs="Times New Roman" w:eastAsia="Times New Roman" w:hAnsi="Times New Roman"/>
          <w:sz w:val="18"/>
          <w:szCs w:val="18"/>
          <w:color w:val="auto"/>
        </w:rPr>
        <w:t>”). Any issuance of Additional Notes is subject to compliance with the terms of the Indenture, including the covenant described below under “—Certain Covenants— Limitation on Incurrence of Indebtedness.” The aggregate principal amount of Series M senior notes and Additional Notes will be unlimited in aggregate principal amount outstanding. Any such Additional Notes would be issued on the same terms as the Series M senior notes, would constitute part of the same series of securities as the Series M senior notes and would vote together as one series on all matters with respect to the Series M senior notes (although they may have a different CUSIP number). All references to the Series M senior notes herein include the Additional Notes, except as stated otherwise.</w:t>
      </w:r>
    </w:p>
    <w:p>
      <w:pPr>
        <w:spacing w:after="0" w:line="13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Series M senior notes will mature on June 15, 2032. Interest on the Series M senior notes will accrue at the rate of 5.700% per annum and will be payable every six months in arrears on June 15 and December 15, commencing on December 15, 2025. We will make each interest payment to the holders of record of the Series M senior notes on the immediately preceding June 1 and December 1.</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Interest on the Series M senior notes will be calculated on the basis of a 360-day year consisting of twelve 30-day months. The Series M senior notes will be issued only in fully registered form, without coupons, in denominations of $2,000 and integral multiples of $1,000 in excess thereof. Principal of, premium, if any, and interest on the Series M senior notes will be payable at the office or agency maintained by us for such purpose, in the Borough of Manhattan, The City of New York.</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Except as provided below under “—Same Day Settlement and Payment,” at our option, payment of interest may be made by check mailed to the holders of any Series M senior notes at the addresses set forth upon our registry books;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holders of certificated Series M senior notes will be entitled to receive interest payments (other than at maturity) by wire transfer of immediately available funds, if appropriate wire transfer instructions have been received in writing by the Trustee not less than 15 days prior to the applicable interest payment date. Such wire instructions, upon receipt by the Trustee, will remain in effect until revoked by such holder. No service charge will be made for any registration of transfer or exchange of Series M senior notes, but we may require payment of a sum sufficient to cover any tax or other governmental charge payable in connection therewith. Until we designate otherwise, our office or agency will be the corporate trust office of the Trustee presently located at 240 Greenwich Street, New York, New York 10286.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80"/>
          </w:cols>
          <w:pgMar w:left="320" w:top="1440" w:right="39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73"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Prior to April 16, 2032 (60 days prior to their maturity date) (the “</w:t>
      </w:r>
      <w:r>
        <w:rPr>
          <w:rFonts w:ascii="Times New Roman" w:cs="Times New Roman" w:eastAsia="Times New Roman" w:hAnsi="Times New Roman"/>
          <w:sz w:val="18"/>
          <w:szCs w:val="18"/>
          <w:i w:val="1"/>
          <w:iCs w:val="1"/>
          <w:color w:val="auto"/>
        </w:rPr>
        <w:t>Par Call Date</w:t>
      </w:r>
      <w:r>
        <w:rPr>
          <w:rFonts w:ascii="Times New Roman" w:cs="Times New Roman" w:eastAsia="Times New Roman" w:hAnsi="Times New Roman"/>
          <w:sz w:val="18"/>
          <w:szCs w:val="18"/>
          <w:color w:val="auto"/>
        </w:rPr>
        <w:t>”), we may redeem the Series M senior notes at our option, at any time in whole or from time to time in part, at a redemption price (expressed as a percentage of principal amount and rounded to three decimal places) equal to the greater of:</w:t>
      </w:r>
    </w:p>
    <w:p>
      <w:pPr>
        <w:spacing w:after="0" w:line="121"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Series M senior notes to be redeemed; and</w:t>
      </w:r>
    </w:p>
    <w:p>
      <w:pPr>
        <w:spacing w:after="0" w:line="17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on the Series M senior notes to be redeemed, in each case discounted to the redemption date (assuming the Series M senior notes matured on the Par Call Date) on a semi-annual basis (assuming a 360-day year consisting of twelve 30-day months) at the Treasury Rate (as defined below) plus 30 basis points, less (b) interest accrued thereon to the date of redemption,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in either case, accrued and unpaid interest thereon to, but not including, the redemption date.</w:t>
      </w:r>
    </w:p>
    <w:p>
      <w:pPr>
        <w:spacing w:after="0" w:line="17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At any time on or after the Par Call Date, the Series M senior notes will be redeemable as a whole or in part, at any time and from time to time, at our option, at a redemption price equal to 100% of the principal amount of the Series M senior notes to be redeemed plus accrued and unpaid interest on the Series M senior notes to be redeemed to, but not including, the date of redemption.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Treasury Rate</w:t>
      </w:r>
      <w:r>
        <w:rPr>
          <w:rFonts w:ascii="Times New Roman" w:cs="Times New Roman" w:eastAsia="Times New Roman" w:hAnsi="Times New Roman"/>
          <w:sz w:val="18"/>
          <w:szCs w:val="18"/>
          <w:color w:val="auto"/>
        </w:rPr>
        <w:t>” means, with respect to any redemption date, the yield determined by us in accordance with the following two paragraphs.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i w:val="1"/>
          <w:i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i w:val="1"/>
          <w:iCs w:val="1"/>
          <w:color w:val="auto"/>
        </w:rPr>
        <w:t>H.15 TCM</w:t>
      </w:r>
      <w:r>
        <w:rPr>
          <w:rFonts w:ascii="Times New Roman" w:cs="Times New Roman" w:eastAsia="Times New Roman" w:hAnsi="Times New Roman"/>
          <w:sz w:val="18"/>
          <w:szCs w:val="18"/>
          <w:color w:val="auto"/>
        </w:rPr>
        <w:t>”). In determining the Treasury Rate, we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i w:val="1"/>
          <w:i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3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we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00"/>
          </w:cols>
          <w:pgMar w:left="320" w:top="1440" w:right="379" w:bottom="1440" w:gutter="0" w:footer="0" w:header="0"/>
        </w:sectPr>
      </w:pPr>
    </w:p>
    <w:bookmarkStart w:id="23" w:name="page24"/>
    <w:bookmarkEnd w:id="23"/>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of the bid and asked prices (expressed as a percentage of principal amount) at 11:00 a.m., New York City time, of such United States Treasury security, and rounded to three decimal places.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actions and determinations in determining the redemption price shall be conclusive and binding for all purposes, absent manifest error.</w:t>
      </w:r>
    </w:p>
    <w:p>
      <w:pPr>
        <w:spacing w:after="0" w:line="1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calculation or determination of the redemption price shall be made by us or on our behalf by such person as we shall designate. For the avoidance of doubt, the calculation or determination of the redemption price shall not be the obligation or responsibility of the Trustee or paying agent.</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Notice of redemption will be mailed or sent electronically pursuant to applicable DTC procedures at least 10 but not more than 60 days before the redemption date to each holder of record of the Series M senior notes to be redeemed at its registered address (with a copy to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redemption notices may be sent more than 60 days prior to a redemption date if the notice is issued in connection with a satisfaction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discharge of the Indenture with respect to the Series M senior notes or, in the case of a redemption that is subject to one or more conditions precedent, if the redemption date is extended as described below.</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any redemption of the Series M senior notes, any such redemption may, in our discretion, be subject to one or more conditions precedent. In addition, if such redemption or notice is subject to satisfaction of one or more conditions precedent, such notice shall state that, in our discretion, the redemption date may be delayed beyond such 60-day period until such time as any or all such conditions shall be satisfied (or waived by us in our sole discretion), or such redemption may not occur and such notice may be rescinded in the event that any or all such conditions shall not have been satisfied by the redemption date, or by the redemption date so delayed. In addition, we may provide in such notice that payment of the redemption price and performance of our obligations with respect to such redemption may be performed by another person.</w:t>
      </w:r>
    </w:p>
    <w:p>
      <w:pPr>
        <w:spacing w:after="0" w:line="13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not prohibited from acquiring the Series M senior notes offered hereby by means other than a redemption, whether pursuant to an issuer tender offer, in open market transactions, or otherwise, assuming such acquisition does not otherwise violate the terms of the Indenture.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sinking fund or other mandatory redemption is provided for the Series M senior notes.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Series M senior notes will be senior unsecured obligations, will rank senior to all of our future subordinated indebtedness and will rank equally in right of payment with all of our existing and future senior unsecured indebtedness, including our Credit Facility and the Existing Senior Notes.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M senior notes and the Existing Senior Notes will be effectively subordinated to all of our existing and future secured indebtedness, to the extent of the value of the collateral securing such indebtedness, and to the indebtedness of our subsidiaries. For further information on ranking, see “Risk Factors —The Series M senior notes are effectively subordinated to our secured debt and to the liabilities of our subsidiaries” and “Risk Factors—Certain of the covenants applicable to our Series M senior notes will no longer apply at any time that certain of our existing indebtedness is no longer outstanding or does not otherwise contain comparable restrictions; as a result, if and when these covenants no longer apply, under certain circumstances our Series M senior notes may be effectively subordinated to other senior indebtedness of the Company that we may incur and secure in the future and may not have the benefit of certain subsidiary guarantees after our Credit Facility no longer requires such springing guarantees” in this prospectus supplement and “Description of Debt Securities—General” in the accompanying prospectus.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7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covenants applicable to the Series M senior notes will be identical in all material respects to the covenants applicable to the Series K and Series L senior notes. The Indenture governing the Series M senior notes contains, among other things, the covenants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Incurrence of Indebtedness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Aggregate Debt Test. </w:t>
      </w:r>
      <w:r>
        <w:rPr>
          <w:rFonts w:ascii="Times New Roman" w:cs="Times New Roman" w:eastAsia="Times New Roman" w:hAnsi="Times New Roman"/>
          <w:sz w:val="18"/>
          <w:szCs w:val="18"/>
          <w:color w:val="auto"/>
        </w:rPr>
        <w:t>We will not, and will not cause or permit any of our Subsidiaries to, incur any Indebtedness, including, without limitation,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if, immediately after giving effect to the incurrence of that Indebtedness and the application of the proceeds therefrom on a pro forma basis, the aggregate principal amount of all of our outstanding Indebtedness and all of the outstanding Indebtedness of our Subsidiaries, determined on a consolidated basis in accordance with GAAP, is greater than 65% of the sum of, without duplication:</w:t>
      </w:r>
    </w:p>
    <w:p>
      <w:pPr>
        <w:spacing w:after="0" w:line="12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Assets of us and our Subsidiaries as of the last day of the then most recently ended fiscal quarter; and</w:t>
      </w:r>
    </w:p>
    <w:p>
      <w:pPr>
        <w:spacing w:after="0" w:line="171"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purchase price of any real estate assets or mortgages receivable acquired, and the aggregate amount of any securities offering proceeds received, to the extent the proceeds were not used to acquire real estate assets or mortgages receivable or used to reduce Indebtedness, by us or any of our Subsidiaries since the end of that fiscal quarter, including the proceeds obtained from the incurrence of that additional Indebtedness, determined on a consolidated basis in accordance with GAAP.</w:t>
      </w:r>
    </w:p>
    <w:p>
      <w:pPr>
        <w:spacing w:after="0" w:line="12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Debt Service Test</w:t>
      </w:r>
      <w:r>
        <w:rPr>
          <w:rFonts w:ascii="Times New Roman" w:cs="Times New Roman" w:eastAsia="Times New Roman" w:hAnsi="Times New Roman"/>
          <w:sz w:val="18"/>
          <w:szCs w:val="18"/>
          <w:color w:val="auto"/>
        </w:rPr>
        <w:t>. We will not, and will not cause or permit any of our Subsidiaries to, incur any Indebtedness, including, without limitation, Acquired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Indebtedness, if the ratio of Consolidated EBITDA to the Interest Expense for the period consisting of the four consecutive fiscal quarters most recently ended for which financial statements have been filed by Host L.P. with the Securities and Exchange Commission prior to the date on which the additional Indebtedness is to be incurred shall have been less than 1.5:1 on a pro forma basis after giving effect to the incurrence of that Indebtedness and the application of the proceeds therefrom (determined on a consolidated basis in accordance with GAAP), and calculated on the assumption that:</w:t>
      </w:r>
    </w:p>
    <w:p>
      <w:pPr>
        <w:spacing w:after="0" w:line="131" w:lineRule="exact"/>
        <w:rPr>
          <w:sz w:val="20"/>
          <w:szCs w:val="20"/>
          <w:color w:val="auto"/>
        </w:rPr>
      </w:pPr>
    </w:p>
    <w:p>
      <w:pPr>
        <w:jc w:val="both"/>
        <w:ind w:left="660" w:right="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and any other Indebtedness, including, without limitation, Acquired Indebtedness, incurred by us or any of our Subsidiaries since the first day of the relevant four-quarter period had been incurred, and the application of the proceeds therefrom, including to repay or retire other Indebtedness, had occurred, on the first day of the period;</w:t>
      </w:r>
    </w:p>
    <w:p>
      <w:pPr>
        <w:spacing w:after="0" w:line="12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or retirement of any of our other Indebtedness (other than Indebtedness repaid or retired with the proceeds of any other Indebtedness, which repayment or retirement shall be calculated pursuant to the preceding bullet and not this bullet) or any other Indebtedness of our Subsidiaries since the first day of the relevant four-quarter period had occurred on the first day of the period; and</w:t>
      </w:r>
    </w:p>
    <w:p>
      <w:pPr>
        <w:spacing w:after="0" w:line="12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acquisition or disposition by us or any of our Subsidiaries of any asset or group of assets, in any such case with a fair market value in excess of $1 million, since the first day of the relevant four-quarter period, whether by merger, stock purchase or sale or asset purchase or sale or otherwise, that acquisition or disposition had occurred as of the first day of the period with the appropriate adjustments with respect to the acquisition or disposition being included in the pro forma calculation.</w:t>
      </w:r>
    </w:p>
    <w:p>
      <w:pPr>
        <w:spacing w:after="0" w:line="12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the Indebtedness giving rise to the need to make the calculation listed above or any other Indebtedness incurred after the first day of the relevant four-quarter period bears interest at a floating rate then, for purposes of calculating the Interest Expense, the interest rate on that Indebtedness shall be computed on a pro forma basis as if the average rate which would have been in effect during the entire relevant four-quarter period had been the applicable rate for the entire period.</w:t>
      </w:r>
    </w:p>
    <w:p>
      <w:pPr>
        <w:spacing w:after="0" w:line="12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Secured Debt Test</w:t>
      </w:r>
      <w:r>
        <w:rPr>
          <w:rFonts w:ascii="Times New Roman" w:cs="Times New Roman" w:eastAsia="Times New Roman" w:hAnsi="Times New Roman"/>
          <w:sz w:val="18"/>
          <w:szCs w:val="18"/>
          <w:color w:val="auto"/>
        </w:rPr>
        <w:t>. We will not, and will not cause or permit any of our Subsidiaries to, incur Secured Indebtedness, if, immediately after giving effect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incurrence of the Secured Indebtedness and the application of the proceeds from the Secured Indebtedness on a pro forma basis, the aggregate principal amount, determined on a consolidated basis in accordance with GAAP, of all of our outstanding Secured Indebtedness and all outstanding Secured Indebtedness of our Subsidiaries is greater than 40% of the sum of, without duplication:</w:t>
      </w:r>
    </w:p>
    <w:p>
      <w:pPr>
        <w:spacing w:after="0" w:line="12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Assets of us and our Subsidiaries as of the last day of the then most recently ended fiscal quarter;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S-22</w:t>
      </w:r>
    </w:p>
    <w:p>
      <w:pPr>
        <w:sectPr>
          <w:pgSz w:w="11900" w:h="16838" w:orient="portrait"/>
          <w:cols w:equalWidth="0" w:num="1">
            <w:col w:w="11220"/>
          </w:cols>
          <w:pgMar w:left="320" w:top="1440" w:right="359" w:bottom="1440" w:gutter="0" w:footer="0" w:header="0"/>
        </w:sectPr>
      </w:pPr>
    </w:p>
    <w:bookmarkStart w:id="25" w:name="page26"/>
    <w:bookmarkEnd w:id="25"/>
    <w:p>
      <w:pPr>
        <w:spacing w:after="0" w:line="140" w:lineRule="exact"/>
        <w:rPr>
          <w:sz w:val="20"/>
          <w:szCs w:val="20"/>
          <w:color w:val="auto"/>
        </w:rPr>
      </w:pPr>
    </w:p>
    <w:p>
      <w:pPr>
        <w:ind w:left="660" w:right="8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purchase price of any real estate assets or mortgages receivable acquired, and the aggregate amount of any securities offering proceeds received, to the extent those proceeds were not used to acquire real estate assets or mortgages receivable or used to reduce Indebtedness, by us or any of our Subsidiaries since the end of the relevant fiscal quarter, including the proceeds obtained from the incurrence of that additional Indebtedness, determined on a consolidated basis in accordance with GAAP.</w:t>
      </w:r>
    </w:p>
    <w:p>
      <w:pPr>
        <w:spacing w:after="0" w:line="12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 the event that Indebtedness incurred is Refinancing Indebtedness, then we will not be required to satisfy any of the foregoing tests in order to incur such Refinancing Indebtedness.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Maintenance of Total Unencumbered Assets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will have at all times Total Unencumbered Assets of not less than 150% of the aggregate principal amount of all of our outstanding Unsecured Debt and the outstanding Unsecured Debt of our Subsidiaries, determined on a consolidated basis in accordance with GAAP.</w:t>
      </w:r>
    </w:p>
    <w:p>
      <w:pPr>
        <w:spacing w:after="0" w:line="10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calculation of the ratios set forth in the Limitation on Incurrence of Indebtedness covenant and the Maintenance of Total Unencumbered Assets covenant shall be undertaken by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Liens</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Neither we nor any Subsidiary shall secure any Indebtedness under the Credit Facility or the Existing Senior Notes by a Lien or suffer to exist any Lien on their respective properties or assets securing Indebtedness under the Credit Facility or the Existing Senior Notes unless effective provision is made to secure the Series M senior notes equally and ratably with the Lien securing such Indebtedness for so long as Indebtedness under the Credit Facility or the Existing Senior Notes is secured by such Lien; provided that this covenant shall no longer apply upon the earlier of (i) the redemption or repayment of all of the outstanding Pre-Series K Senior Notes or (ii) the elimination of this liens covenant from all of the outstanding Pre-Series K Senior Notes.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Guarantees</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our Subsidiaries that guarantees any of our Indebtedness (the “</w:t>
      </w:r>
      <w:r>
        <w:rPr>
          <w:rFonts w:ascii="Times New Roman" w:cs="Times New Roman" w:eastAsia="Times New Roman" w:hAnsi="Times New Roman"/>
          <w:sz w:val="18"/>
          <w:szCs w:val="18"/>
          <w:i w:val="1"/>
          <w:iCs w:val="1"/>
          <w:color w:val="auto"/>
        </w:rPr>
        <w:t>Guaranteed Indebtedness</w:t>
      </w:r>
      <w:r>
        <w:rPr>
          <w:rFonts w:ascii="Times New Roman" w:cs="Times New Roman" w:eastAsia="Times New Roman" w:hAnsi="Times New Roman"/>
          <w:sz w:val="18"/>
          <w:szCs w:val="18"/>
          <w:color w:val="auto"/>
        </w:rPr>
        <w:t xml:space="preserve">”) in the future will be required to guarantee the Series M senior notes offered hereby; provided that this covenant shall no longer apply upon the elimination of the future guarantees covenant from all of the outstanding Pre-Series K Senior Notes (including upon redemption or repayment in full) and from the Credit Facility. To the extent this covenant is applicable, if the Guaranteed Indebtedness is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Series M senior notes, then the guarantee of such Guaranteed Indebtedness shall be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or subordinated in right of payment to, the future guarantee of the Series M senior note required hereby or (B) subordinated in right of payment to the Series M senior notes, then the guarantee of such Guaranteed Indebtedness shall be subordinated in right of payment to the future guarantee of the Series M senior notes required hereby at least to the extent that the Guaranteed Indebtedness is subordinated in right of payment to the Series M senior notes. The Series M senior notes offered hereby will not initially be guaranteed by Host Hotels &amp; Resorts, Inc. or any of our direct or indirect subsidiaries.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 Reports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 the extent any Series M senior notes are outstanding, we shall deliver to the Trustee and to each holder, within 15 days after we are or would have been required to file such with the Commission, annual and quarterly financial statements substantially equivalent to financial statements that would have been included in reports filed with the Commission if we were subject to the requirements of Section 13 or 15(d) of the Exchange Act, including, with respect to annual information only, a report thereon by our certified independent public accountants, as such would be required in such reports to the Commission, and, in each case, together with a management’s discussion and analysis of financial condition and results of operations which would be so required.</w:t>
      </w:r>
    </w:p>
    <w:p>
      <w:pPr>
        <w:spacing w:after="0" w:line="129"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Delivery of reports, information and documents to the Trustee under this covenant is for informational purposes only, and the Trustee’s receipt of the foregoing shall not constitute constructive or actual notice of any information contained therein or determinable from information contained therein, including our compliance with any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covenants hereunder (as to which the Trustee is entitled to rely exclusively on officer’s certificates). All such reports, information or documents referred to in this covenant that we file with the Commission via the Commission’s EDGAR system shall be deemed to be filed with the Trustee and transmitted to holders at the time such reports, information or documents are filed via the EDGAR system (or any successor system).</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Notwithstanding the foregoing, to the extent we do not file reports with the Commission’s EDGAR system, we shall make the reports required by this covenant available to the holders of the Series M senior notes, beneficial owners of the Series M senior notes, bona fide prospective investors in the Series M senior notes, bona fide market makers in the Series M senior notes and bona fide securities analysts (to the extent providing analysis of investment in the Series M senior notes) by posting to our website or on a non-public, password-protected website maintained by us or a third party, in each case, within 15 days after the time we would be required to provide such information pursuant to this covenant.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“Events of Default” provision set forth in the accompanying prospectus, the first paragraph will be superseded by the following: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 means with respect to the Series M senior notes, any of the following:</w:t>
      </w:r>
    </w:p>
    <w:p>
      <w:pPr>
        <w:spacing w:after="0" w:line="173" w:lineRule="exact"/>
        <w:rPr>
          <w:sz w:val="20"/>
          <w:szCs w:val="20"/>
          <w:color w:val="auto"/>
        </w:rPr>
      </w:pPr>
    </w:p>
    <w:p>
      <w:pPr>
        <w:ind w:left="660" w:right="60" w:hanging="328"/>
        <w:spacing w:after="0" w:line="266"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the Series M senior notes when it becomes due and payable, and continuance of such default for a period of 30 days (unless the entire amount of the payment is deposited by us with the Trustee or with a paying agent prior to the expiration of the 30-day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the Series M senior notes at their maturity;</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(a) Secured Indebtedness of Host L.P. or any of Host L.P.’s Subsidiaries with an aggregate principal amount in excess of 5% of Total Assets, or (b) other Indebtedness of Host L.P. or any of Host L.P.’s Subsidiaries with an aggregate principal amount in excess of $150 million, in either case, (A) resulting from the failure to pay principal or interest when due (after giving effect to any applicable extensions or grace or cure periods) or (B) as a result of which the maturity of such Indebtedness has been accelerated prior to its final stated maturity;</w:t>
      </w:r>
    </w:p>
    <w:p>
      <w:pPr>
        <w:spacing w:after="0" w:line="125"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Host L.P. and the Trustee receive written notice from the holders of not less than 25% in principal amount of the outstanding debt securities of that series as provided in the Indenture; or</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Host L.P.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Set forth below are certain defined terms used in this prospectus supplement and the supplemental indenture to the Indenture. We refer you to the Indenture and the supplemental indenture to the Indenture for a full disclosure of all such terms, as well as any other capitalized terms used in this prospectus supplement for which no definition is provided.</w:t>
      </w:r>
    </w:p>
    <w:p>
      <w:pPr>
        <w:spacing w:after="0" w:line="12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Acquired Indebtedness</w:t>
      </w:r>
      <w:r>
        <w:rPr>
          <w:rFonts w:ascii="Times New Roman" w:cs="Times New Roman" w:eastAsia="Times New Roman" w:hAnsi="Times New Roman"/>
          <w:sz w:val="18"/>
          <w:szCs w:val="18"/>
          <w:color w:val="auto"/>
        </w:rPr>
        <w:t xml:space="preserve">” means Indebtedness of a person (1) existing at the time such person is merged or consolidated with or into, or becomes a Subsidiary of us or (2) assumed by us or any of our Subsidiaries in connection with the acquisition of assets from that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Indebtedness of such person which is redeemed, defeased (including the deposit of funds in a valid trust for the exclusive benefit of holders and the trustee thereof, sufficient to repay such Indebtedness in accordance with its terms), retired or otherwise repaid at the time of or immediately upon consummation of the transactions by which such person is acquired shall not be included as Acquired Indebtedness. Acquired Indebtedness shall be deemed to be incurred on the date the acquired person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merged or consolidated with or into, or becomes a Subsidiary of, us or the date of the related acquisition, as the case may be.</w:t>
      </w:r>
    </w:p>
    <w:p>
      <w:pPr>
        <w:spacing w:after="0" w:line="16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Average Life</w:t>
      </w:r>
      <w:r>
        <w:rPr>
          <w:rFonts w:ascii="Times New Roman" w:cs="Times New Roman" w:eastAsia="Times New Roman" w:hAnsi="Times New Roman"/>
          <w:sz w:val="18"/>
          <w:szCs w:val="18"/>
          <w:color w:val="auto"/>
        </w:rPr>
        <w:t>” means at any date of determination with respect to any debt security, the quotient obtained by dividing (i) the sum of the products of (a) the number of years (calculated to the nearest one-twelfth) from such date of determination to the date of each successive scheduled principal (or redemption) payment of such debt security and (b) the amount of such principal (or redemption) payment by (ii) the sum of all such principal (or redemption) payments.</w:t>
      </w:r>
    </w:p>
    <w:p>
      <w:pPr>
        <w:spacing w:after="0" w:line="119"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 Stock</w:t>
      </w:r>
      <w:r>
        <w:rPr>
          <w:rFonts w:ascii="Times New Roman" w:cs="Times New Roman" w:eastAsia="Times New Roman" w:hAnsi="Times New Roman"/>
          <w:sz w:val="18"/>
          <w:szCs w:val="18"/>
          <w:color w:val="auto"/>
        </w:rPr>
        <w:t>” means any and all shares, interests, participations, rights or other equivalents (however designated), including, without limitation, of corporate stock and partnership interests.</w:t>
      </w:r>
    </w:p>
    <w:p>
      <w:pPr>
        <w:spacing w:after="0" w:line="104"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Capitalized Lease</w:t>
      </w:r>
      <w:r>
        <w:rPr>
          <w:rFonts w:ascii="Times New Roman" w:cs="Times New Roman" w:eastAsia="Times New Roman" w:hAnsi="Times New Roman"/>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w:t>
      </w:r>
    </w:p>
    <w:p>
      <w:pPr>
        <w:spacing w:after="0" w:line="104"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Capitalized Lease Obligations</w:t>
      </w:r>
      <w:r>
        <w:rPr>
          <w:rFonts w:ascii="Times New Roman" w:cs="Times New Roman" w:eastAsia="Times New Roman" w:hAnsi="Times New Roman"/>
          <w:sz w:val="18"/>
          <w:szCs w:val="18"/>
          <w:color w:val="auto"/>
        </w:rPr>
        <w:t>” means the discounted present value of the rental obligations under a Capitalized Lease as reflected on the balance sheet of such person in accordance with GAAP.</w:t>
      </w:r>
    </w:p>
    <w:p>
      <w:pPr>
        <w:spacing w:after="0" w:line="1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EBITDA</w:t>
      </w:r>
      <w:r>
        <w:rPr>
          <w:rFonts w:ascii="Times New Roman" w:cs="Times New Roman" w:eastAsia="Times New Roman" w:hAnsi="Times New Roman"/>
          <w:sz w:val="18"/>
          <w:szCs w:val="18"/>
          <w:color w:val="auto"/>
        </w:rPr>
        <w:t>” for any period means our Consolidated Net Income and the Consolidated Net Income of our Subsidiaries for such period, plus amounts which have been deducted and minus amounts which have been added for, without duplication: (1) interest expense on Indebtedness; (2) provision for taxes based on income; (3) amortization of debt discount, premium and deferred financing costs; (4) gains and losses on sales or other dispositions of depreciable properties and other investments; (5) property depreciation and amortization, including any impairment charges; (6) the effect of any non-cash items; and (7) amortization of deferred charges, all determined on a consolidated basis in accordance with GAAP.</w:t>
      </w:r>
    </w:p>
    <w:p>
      <w:pPr>
        <w:spacing w:after="0" w:line="1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Consolidated Net Income</w:t>
      </w:r>
      <w:r>
        <w:rPr>
          <w:rFonts w:ascii="Times New Roman" w:cs="Times New Roman" w:eastAsia="Times New Roman" w:hAnsi="Times New Roman"/>
          <w:sz w:val="18"/>
          <w:szCs w:val="18"/>
          <w:color w:val="auto"/>
        </w:rPr>
        <w:t>” for any period means the amount of net income, or loss, for us and our Subsidiaries for such period, excluding, without duplication, (1) extraordinary, non-recurring or other unusual items, as determined by us in good faith (including, without limitation, all prepayment penalties and all costs or fees incurred in connection with any debt financing or amendment thereto, acquisition, disposition, recapitalization or similar transaction (regardless of whether such transaction is completed)), (2) the portion of net income for us and our Subsidiaries allocable to non-controlling interests in unconsolidated persons to the extent that cumulative cash dividends or distributions have not actually been received by us or one of our Subsidiaries and (3) the portion of net losses for us and our Subsidiaries allocable to non-controlling interests in unconsolidated persons, all determined on a consolidated basis in accordance with GAAP.</w:t>
      </w:r>
    </w:p>
    <w:p>
      <w:pPr>
        <w:spacing w:after="0" w:line="12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Facility</w:t>
      </w:r>
      <w:r>
        <w:rPr>
          <w:rFonts w:ascii="Times New Roman" w:cs="Times New Roman" w:eastAsia="Times New Roman" w:hAnsi="Times New Roman"/>
          <w:sz w:val="18"/>
          <w:szCs w:val="18"/>
          <w:color w:val="auto"/>
        </w:rPr>
        <w:t>” means the credit facility established pursuant to the Sixth Amended and Restated Credit Agreement, dated as of January 4, 2023, among the Company, Bank of America, N.A., as Administrative Agent, and other agents and lenders party thereto, together with all other agreements, instruments and documents executed or delivered pursuant thereto or in connection therewith, in each case as such agreements, instruments or documents may be amended, supplemented, extended, renewed, replaced or otherwise modified or restructured from time to time (including by way of adding Subsidiaries of the Company as additional borrowers or guarantors thereof), whether by the same or any other agent, lender or group of lenders (including by means of sales of debt securities).</w:t>
      </w:r>
    </w:p>
    <w:p>
      <w:pPr>
        <w:spacing w:after="0" w:line="128" w:lineRule="exact"/>
        <w:rPr>
          <w:sz w:val="20"/>
          <w:szCs w:val="20"/>
          <w:color w:val="auto"/>
        </w:rPr>
      </w:pPr>
    </w:p>
    <w:p>
      <w:pPr>
        <w:ind w:right="2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Existing Senior Notes</w:t>
      </w:r>
      <w:r>
        <w:rPr>
          <w:rFonts w:ascii="Times New Roman" w:cs="Times New Roman" w:eastAsia="Times New Roman" w:hAnsi="Times New Roman"/>
          <w:sz w:val="17"/>
          <w:szCs w:val="17"/>
          <w:color w:val="auto"/>
        </w:rPr>
        <w:t>” means amounts outstanding from time to time of (i) the 4% Series E senior notes due 2025 (the “</w:t>
      </w:r>
      <w:r>
        <w:rPr>
          <w:rFonts w:ascii="Times New Roman" w:cs="Times New Roman" w:eastAsia="Times New Roman" w:hAnsi="Times New Roman"/>
          <w:sz w:val="17"/>
          <w:szCs w:val="17"/>
          <w:i w:val="1"/>
          <w:iCs w:val="1"/>
          <w:color w:val="auto"/>
        </w:rPr>
        <w:t>Series E senior notes</w:t>
      </w:r>
      <w:r>
        <w:rPr>
          <w:rFonts w:ascii="Times New Roman" w:cs="Times New Roman" w:eastAsia="Times New Roman" w:hAnsi="Times New Roman"/>
          <w:sz w:val="17"/>
          <w:szCs w:val="17"/>
          <w:color w:val="auto"/>
        </w:rPr>
        <w:t>”); (ii) the 4.5% Series F senior notes due 2026 (the “</w:t>
      </w:r>
      <w:r>
        <w:rPr>
          <w:rFonts w:ascii="Times New Roman" w:cs="Times New Roman" w:eastAsia="Times New Roman" w:hAnsi="Times New Roman"/>
          <w:sz w:val="17"/>
          <w:szCs w:val="17"/>
          <w:i w:val="1"/>
          <w:iCs w:val="1"/>
          <w:color w:val="auto"/>
        </w:rPr>
        <w:t>Series F senior notes</w:t>
      </w:r>
      <w:r>
        <w:rPr>
          <w:rFonts w:ascii="Times New Roman" w:cs="Times New Roman" w:eastAsia="Times New Roman" w:hAnsi="Times New Roman"/>
          <w:sz w:val="17"/>
          <w:szCs w:val="17"/>
          <w:color w:val="auto"/>
        </w:rPr>
        <w:t>”); (iii) the 3.375% Series H senior notes due 2029 (the “</w:t>
      </w:r>
      <w:r>
        <w:rPr>
          <w:rFonts w:ascii="Times New Roman" w:cs="Times New Roman" w:eastAsia="Times New Roman" w:hAnsi="Times New Roman"/>
          <w:sz w:val="17"/>
          <w:szCs w:val="17"/>
          <w:i w:val="1"/>
          <w:iCs w:val="1"/>
          <w:color w:val="auto"/>
        </w:rPr>
        <w:t>Series H senior notes</w:t>
      </w:r>
      <w:r>
        <w:rPr>
          <w:rFonts w:ascii="Times New Roman" w:cs="Times New Roman" w:eastAsia="Times New Roman" w:hAnsi="Times New Roman"/>
          <w:sz w:val="17"/>
          <w:szCs w:val="17"/>
          <w:color w:val="auto"/>
        </w:rPr>
        <w:t>”); (iv) the</w:t>
      </w:r>
    </w:p>
    <w:p>
      <w:pPr>
        <w:spacing w:after="0" w:line="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3.5% Series I senior notes due 2030 (the “</w:t>
      </w:r>
      <w:r>
        <w:rPr>
          <w:rFonts w:ascii="Times New Roman" w:cs="Times New Roman" w:eastAsia="Times New Roman" w:hAnsi="Times New Roman"/>
          <w:sz w:val="18"/>
          <w:szCs w:val="18"/>
          <w:i w:val="1"/>
          <w:iCs w:val="1"/>
          <w:color w:val="auto"/>
        </w:rPr>
        <w:t>Series I senior notes</w:t>
      </w:r>
      <w:r>
        <w:rPr>
          <w:rFonts w:ascii="Times New Roman" w:cs="Times New Roman" w:eastAsia="Times New Roman" w:hAnsi="Times New Roman"/>
          <w:sz w:val="18"/>
          <w:szCs w:val="18"/>
          <w:color w:val="auto"/>
        </w:rPr>
        <w:t>”); (v) the 2.9% Series J senior notes due 2031 (the “</w:t>
      </w:r>
      <w:r>
        <w:rPr>
          <w:rFonts w:ascii="Times New Roman" w:cs="Times New Roman" w:eastAsia="Times New Roman" w:hAnsi="Times New Roman"/>
          <w:sz w:val="18"/>
          <w:szCs w:val="18"/>
          <w:i w:val="1"/>
          <w:iCs w:val="1"/>
          <w:color w:val="auto"/>
        </w:rPr>
        <w:t>Series J senior notes</w:t>
      </w:r>
      <w:r>
        <w:rPr>
          <w:rFonts w:ascii="Times New Roman" w:cs="Times New Roman" w:eastAsia="Times New Roman" w:hAnsi="Times New Roman"/>
          <w:sz w:val="18"/>
          <w:szCs w:val="18"/>
          <w:color w:val="auto"/>
        </w:rPr>
        <w:t>”); (vi) the 5.7% Series K senior notes due 2034 (the “</w:t>
      </w:r>
      <w:r>
        <w:rPr>
          <w:rFonts w:ascii="Times New Roman" w:cs="Times New Roman" w:eastAsia="Times New Roman" w:hAnsi="Times New Roman"/>
          <w:sz w:val="18"/>
          <w:szCs w:val="18"/>
          <w:i w:val="1"/>
          <w:iCs w:val="1"/>
          <w:color w:val="auto"/>
        </w:rPr>
        <w:t>Series K senior notes</w:t>
      </w:r>
      <w:r>
        <w:rPr>
          <w:rFonts w:ascii="Times New Roman" w:cs="Times New Roman" w:eastAsia="Times New Roman" w:hAnsi="Times New Roman"/>
          <w:sz w:val="18"/>
          <w:szCs w:val="18"/>
          <w:color w:val="auto"/>
        </w:rPr>
        <w:t>”); and (vii) the 5.5% Series L senior notes due 2035 (the “</w:t>
      </w:r>
      <w:r>
        <w:rPr>
          <w:rFonts w:ascii="Times New Roman" w:cs="Times New Roman" w:eastAsia="Times New Roman" w:hAnsi="Times New Roman"/>
          <w:sz w:val="18"/>
          <w:szCs w:val="18"/>
          <w:i w:val="1"/>
          <w:iCs w:val="1"/>
          <w:color w:val="auto"/>
        </w:rPr>
        <w:t>Series L senior notes</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ind w:right="3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means, with respect to any person, any indebtedness of that person, whether or not contingent, in respect of: (1) borrowed money or evidenced by bonds, notes, debentures or similar instruments; (2) indebtedness secured by any Lien on any property or asset owned by such person, but only to the extent of the lesser of: (a) the amount of indebtedness so secured; and (b) the fair market value of the property subject to such Lien;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40" w:lineRule="exact"/>
        <w:rPr>
          <w:sz w:val="20"/>
          <w:szCs w:val="20"/>
          <w:color w:val="auto"/>
        </w:rPr>
      </w:pPr>
    </w:p>
    <w:p>
      <w:pPr>
        <w:ind w:right="20" w:firstLine="8"/>
        <w:spacing w:after="0" w:line="253"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reimbursement obligations, contingent or otherwise, in connection with any letters of credit actually issued and called (other than letters of credit issued to provide credit enhancement or support with respect to other indebtedness of a person or any of its subsidiaries otherwise reflected as Indebtedness hereunder) or amounts representing the balance deferred and unpaid of the purchase price of any property except any such balance that constitutes an accrued expense or trade payable; or (4) any lease of property by such person as lessee which is required to be reflected on such person’s balance sheet as a capitalized lease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clauses (1) through (3) above, items shall only constitute Indebtedness to the extent that those items (other than letters of credit) would appear as a liability on our consolidated balance sheet in accordance with GAAP. Indebtedness also includes, to the extent not otherwise included, any obligation of that person to be liable for, or to pay, as obligor, guarantor or otherwise, other than for purposes of collection in the ordinary course of business, Indebtedness of the types referred to above of another person (excluding guarantees, indemnities and obligations relating to usual and customary exceptions to non-recourse debt financings, such as environmental indemnities and recourse carve-outs consistent with customary industry practice, as determined by us in good faith, until such time as they become primary obligations of that person, and payments are due and required to be made thereunder), it being understood that Indebtedness shall be deemed to be incurred by such person whenever such person shall create, assume, guarantee or otherwise become liable in respect thereof.</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means, for any period, our interest expense and the interest expense of our Subsidiaries for such period, including, without duplication,</w:t>
      </w:r>
    </w:p>
    <w:p>
      <w:pPr>
        <w:spacing w:after="0" w:line="29" w:lineRule="exact"/>
        <w:rPr>
          <w:sz w:val="20"/>
          <w:szCs w:val="20"/>
          <w:color w:val="auto"/>
        </w:rPr>
      </w:pPr>
    </w:p>
    <w:p>
      <w:pPr>
        <w:ind w:right="260" w:firstLine="8"/>
        <w:spacing w:after="0" w:line="255" w:lineRule="auto"/>
        <w:tabs>
          <w:tab w:leader="none" w:pos="2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amortization of debt discount, but excluding the amortization of fees or expenses incurred in order to consummate the sale of debt securities or to establish the Credit Facility, (2) all accrued interest, (3) all capitalized interest, and (4) the interest component of Capitalized Lease Obligations, all determined on a consolidated basis in accordance with GAAP, but excluding debt extinguishment costs and prepayment penalties.</w:t>
      </w:r>
    </w:p>
    <w:p>
      <w:pPr>
        <w:spacing w:after="0" w:line="130"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Lien</w:t>
      </w:r>
      <w:r>
        <w:rPr>
          <w:rFonts w:ascii="Times New Roman" w:cs="Times New Roman" w:eastAsia="Times New Roman" w:hAnsi="Times New Roman"/>
          <w:sz w:val="18"/>
          <w:szCs w:val="18"/>
          <w:color w:val="auto"/>
        </w:rPr>
        <w:t>” means any mortgage, deed of trust, lien, charge, pledge, security interest, security agreement, or other encumbrance of any kind other than a Permitted Lien.</w:t>
      </w:r>
    </w:p>
    <w:p>
      <w:pPr>
        <w:spacing w:after="0" w:line="10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Lien</w:t>
      </w:r>
      <w:r>
        <w:rPr>
          <w:rFonts w:ascii="Times New Roman" w:cs="Times New Roman" w:eastAsia="Times New Roman" w:hAnsi="Times New Roman"/>
          <w:sz w:val="18"/>
          <w:szCs w:val="18"/>
          <w:color w:val="auto"/>
        </w:rPr>
        <w:t xml:space="preserve">” means any of the following: (1) Liens imposed by governmental authorities for taxes, assessments or other charges where nonpayment thereof is not subject to penalty or which are being contested in good faith and by appropriate proceedings, if adequate reserves with respect thereto are maintained on our books in accordance with GAAP; (2) statutory liens of carriers, warehousemen, mechanics, materialmen, landlords, repairmen or other like Liens arising by operation of law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underlying obligations are not overdue for a period of more than 30 days, and (b) such Liens are being contested in good faith and by appropriate proceedings and adequate reserves with respect thereto are maintained on our books in accordance with GAAP; (3) Liens securing the performance of bids, trade contracts (other than for borrowed money), leases, statutory obligations, surety and appeal bonds, performance bonds and other obligations of a like nature incurred in the ordinary course of business;</w:t>
      </w:r>
    </w:p>
    <w:p>
      <w:pPr>
        <w:spacing w:after="0" w:line="5" w:lineRule="exact"/>
        <w:rPr>
          <w:sz w:val="20"/>
          <w:szCs w:val="20"/>
          <w:color w:val="auto"/>
        </w:rPr>
      </w:pPr>
    </w:p>
    <w:p>
      <w:pPr>
        <w:ind w:right="140" w:firstLine="8"/>
        <w:spacing w:after="0" w:line="25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zoning, similar restrictions and other similar encumbrances or title defects which, singly or in the aggregate, do not in any case materially detract from the value of the property, subject thereto (as such property is used by us or any of our Subsidiaries) or interfere with the ordinary conduct of our business or that of any of our Subsidiaries; (5) Liens arising by operation of law in connection with judgments, only to the extent, for an amount and for a period not resulting in an Event of Default with respect thereto; (6) pledges or deposits made in the ordinary course of business in connection with workers’ compensation, unemployment insurance and other types of social security legislation; and (7) Liens securing on an equal and ratable basis the debt securities and any other Indebtedness.</w:t>
      </w:r>
    </w:p>
    <w:p>
      <w:pPr>
        <w:spacing w:after="0" w:line="134"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Pre-Series K Senior Notes</w:t>
      </w:r>
      <w:r>
        <w:rPr>
          <w:rFonts w:ascii="Times New Roman" w:cs="Times New Roman" w:eastAsia="Times New Roman" w:hAnsi="Times New Roman"/>
          <w:sz w:val="18"/>
          <w:szCs w:val="18"/>
          <w:color w:val="auto"/>
        </w:rPr>
        <w:t>” means (i) the Series E senior notes; (ii) the Series F senior notes; (iii) the Series H senior notes; (iv) the Series I senior notes; and (v) the Series J senior notes.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Refinancing Indebtedness</w:t>
      </w:r>
      <w:r>
        <w:rPr>
          <w:rFonts w:ascii="Times New Roman" w:cs="Times New Roman" w:eastAsia="Times New Roman" w:hAnsi="Times New Roman"/>
          <w:sz w:val="18"/>
          <w:szCs w:val="18"/>
          <w:color w:val="auto"/>
        </w:rPr>
        <w:t>” means Indebtedness: (i) issued in exchange for, or the proceeds from the issuance and sale of which are used substantially concurrently to repay, redeem, defease, refund, refinance, discharge or otherwise retire for value, in whole or in part; or (ii) constituting an amendment, modification or supplement to, or a deferral or renewal of ((i) and (ii) above are, collectively, a “</w:t>
      </w:r>
      <w:r>
        <w:rPr>
          <w:rFonts w:ascii="Times New Roman" w:cs="Times New Roman" w:eastAsia="Times New Roman" w:hAnsi="Times New Roman"/>
          <w:sz w:val="18"/>
          <w:szCs w:val="18"/>
          <w:i w:val="1"/>
          <w:iCs w:val="1"/>
          <w:color w:val="auto"/>
        </w:rPr>
        <w:t>Refinancing</w:t>
      </w:r>
      <w:r>
        <w:rPr>
          <w:rFonts w:ascii="Times New Roman" w:cs="Times New Roman" w:eastAsia="Times New Roman" w:hAnsi="Times New Roman"/>
          <w:sz w:val="18"/>
          <w:szCs w:val="18"/>
          <w:color w:val="auto"/>
        </w:rPr>
        <w:t xml:space="preserve">”), any Indebtedness in a principal amount (or accreted value, if applicable) not to exceed: (a) the principal amount (or accreted value, if applicable) of the Indebtedness so refinanced; plus (b) all accrued interest on the Indebtedness and the amount of all expenses and premiums incurred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Refinancing Indebtedness (other than a revolving line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credit from a commercial lender or other Indebtedness whose proceeds are used to repay a revolving line of credit from a commercial lender to the extent such revolving line of credit or other Indebtedness was not put in place for purposes of evading the limitations described in this definition) shall: (w) not have an Average Life shorter than the Indebtedness to be so refinanced at the time of such Refinancing; (x) be subordinated in right of payment to the rights of holders of the Series M senior notes if the Indebtedness to be refinanced was so subordinated; (y) be subordinated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to the rights of holders of the Series M senior notes if the Indebtedness to be refinanced was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to the rights of holders of the Series M senior notes; and (z) be unsecured if the Indebtedness to be refinanced was unsecured. For the avoidance of doubt, the issuance of a notice of redemption or other prepayment notice after the closing of such Refinancing Indebtedness (with payment made pursuant to terms set forth in such notice) would be deemed to be substantially concurrently for the purposes of this definition.</w:t>
      </w:r>
    </w:p>
    <w:p>
      <w:pPr>
        <w:spacing w:after="0" w:line="136"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Secured Indebtedness</w:t>
      </w:r>
      <w:r>
        <w:rPr>
          <w:rFonts w:ascii="Times New Roman" w:cs="Times New Roman" w:eastAsia="Times New Roman" w:hAnsi="Times New Roman"/>
          <w:sz w:val="18"/>
          <w:szCs w:val="18"/>
          <w:color w:val="auto"/>
        </w:rPr>
        <w:t>” means any Indebtedness, including, without limitation, Acquired Indebtedness, secured by any Lien on any of our property or assets or any of the property or assets of our Subsidiaries, whether owned on the Series Issue Date or thereafter acquired.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Issue Date</w:t>
      </w:r>
      <w:r>
        <w:rPr>
          <w:rFonts w:ascii="Times New Roman" w:cs="Times New Roman" w:eastAsia="Times New Roman" w:hAnsi="Times New Roman"/>
          <w:sz w:val="18"/>
          <w:szCs w:val="18"/>
          <w:color w:val="auto"/>
        </w:rPr>
        <w:t>” means May 20, 2025.</w:t>
      </w:r>
    </w:p>
    <w:p>
      <w:pPr>
        <w:spacing w:after="0" w:line="171"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means, with respect to any person, at any date, any corporation, limited liability company, partnership, association or other entity (but excluding an individual), the accounts of which would be consolidated with those of such person in such person’s consolidated financial statements if such financial statements were prepared in accordance with GAAP as in effect from time to time.</w:t>
      </w:r>
    </w:p>
    <w:p>
      <w:pPr>
        <w:spacing w:after="0" w:line="119" w:lineRule="exact"/>
        <w:rPr>
          <w:sz w:val="20"/>
          <w:szCs w:val="20"/>
          <w:color w:val="auto"/>
        </w:rPr>
      </w:pPr>
    </w:p>
    <w:p>
      <w:pPr>
        <w:ind w:right="62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Assets</w:t>
      </w:r>
      <w:r>
        <w:rPr>
          <w:rFonts w:ascii="Times New Roman" w:cs="Times New Roman" w:eastAsia="Times New Roman" w:hAnsi="Times New Roman"/>
          <w:sz w:val="18"/>
          <w:szCs w:val="18"/>
          <w:color w:val="auto"/>
        </w:rPr>
        <w:t>” means, the sum of, without duplication, Undepreciated Real Estate Assets and all other assets, excluding intangibles, of ours and our Subsidiaries, all determined on a consolidated basis in accordance with GAAP.</w:t>
      </w:r>
    </w:p>
    <w:p>
      <w:pPr>
        <w:spacing w:after="0" w:line="10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Total Unencumbered Assets</w:t>
      </w:r>
      <w:r>
        <w:rPr>
          <w:rFonts w:ascii="Times New Roman" w:cs="Times New Roman" w:eastAsia="Times New Roman" w:hAnsi="Times New Roman"/>
          <w:sz w:val="18"/>
          <w:szCs w:val="18"/>
          <w:color w:val="auto"/>
        </w:rPr>
        <w:t xml:space="preserve">” means, the sum of, without duplication, those Undepreciated Real Estate Assets which are not subject to a Lien securing Indebtedness and all other assets, excluding intangibles, of ours and our Subsidiaries not subject to a Lien securing Indebtedness, all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determining Total Unencumbered Assets as a percentage of outstanding Unsecured Debt for purposes of the covenant set forth above in “—Certain Covenants—Limitation on Incurrence of Indebtedness—Maintenance of Total Unencumbered Assets,” all investments by us and our Subsidiaries in unconsolidated joint ventures, unconsolidated limited partnerships, unconsolidated limited liability companies and other unconsolidated entities shall be excluded from Total Unencumbered Assets to the extent that such investments would have otherwise been included.</w:t>
      </w:r>
    </w:p>
    <w:p>
      <w:pPr>
        <w:spacing w:after="0" w:line="129"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Undepreciated Real Estate Assets</w:t>
      </w:r>
      <w:r>
        <w:rPr>
          <w:rFonts w:ascii="Times New Roman" w:cs="Times New Roman" w:eastAsia="Times New Roman" w:hAnsi="Times New Roman"/>
          <w:sz w:val="18"/>
          <w:szCs w:val="18"/>
          <w:color w:val="auto"/>
        </w:rPr>
        <w:t>” means, as of any date, the cost (being the original cost plus capital improvements) of our real estate assets and the real estate assets of our Subsidiaries on such date, before depreciation and amortization and impairments, all determined on a consolidated basis in accordance with GAAP.</w:t>
      </w:r>
    </w:p>
    <w:p>
      <w:pPr>
        <w:spacing w:after="0" w:line="119"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Unsecured Debt</w:t>
      </w:r>
      <w:r>
        <w:rPr>
          <w:rFonts w:ascii="Times New Roman" w:cs="Times New Roman" w:eastAsia="Times New Roman" w:hAnsi="Times New Roman"/>
          <w:sz w:val="18"/>
          <w:szCs w:val="18"/>
          <w:color w:val="auto"/>
        </w:rPr>
        <w:t>” means, Indebtedness of ours or any of our Subsidiaries which is not secured by a Lien on any property or assets of ours or any of our Subsidiaries.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Form and Transfer</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The Series M senior notes will be represented by one or more notes in registered, global form without interest coupons (collectively, the “</w:t>
      </w: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The Global Notes will be deposited upon issuance with the Trustee as custodian for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in New York, New York, and registered in the name of DTC or its nominee, in each case, for credit to an account of a direct or indirect participant in DTC as described below.</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We take no responsibility for these operations and procedures and urge investors to contact the system or their participants directly to discuss these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4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DTC has advised us that DTC is a limited-purpose trust company created to hold securities for its participating organizations, called the “direct participants,” and to facilitate the clearance and settlement of transactions in those securities between direct participants through electronic book-entry changes in accounts of participants. The direct participants include securities brokers and dealers, banks, trust companies, clearing corporations and certain other organizations. Indirect access to DTC’s system is also available to other entities that clear through or maintain a direct or indirect custodial relationship with a direct participant, called the “indirect participants.” DTC may hold securities beneficially owned by other persons only through the direct participants or indirect participants and such other person’s ownership interest and transfer of ownership interest will be recorded only on the records of the direct participant and/or indirect participant and not on the records maintained by DTC.</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DTC has also advised us that, pursuant to DTC’s procedures, (1) upon issuance of the Global Notes, DTC will credit the accounts of the direct participants with portions of the principal amount of the Global Notes, and (2) DTC will maintain records of the ownership interests of such direct participants in the Global Notes and the transfer of ownership interests by and between direct participants, DTC will not maintain records of the ownership interests of, or the transfer of ownership interest by and between, indirect participants or other owners of beneficial interests in the Global Notes. Direct participants and indirect participants must maintain their own records of the ownership interests of, and the transfer of ownership interests by and between, indirect participants and other owners of beneficial interests in the Global Notes.</w:t>
      </w:r>
    </w:p>
    <w:p>
      <w:pPr>
        <w:spacing w:after="0" w:line="13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Clearstream Banking,</w:t>
      </w:r>
      <w:r>
        <w:rPr>
          <w:rFonts w:ascii="Times New Roman" w:cs="Times New Roman" w:eastAsia="Times New Roman" w:hAnsi="Times New Roman"/>
          <w:sz w:val="18"/>
          <w:szCs w:val="18"/>
          <w:i w:val="1"/>
          <w:iCs w:val="1"/>
          <w:color w:val="auto"/>
        </w:rPr>
        <w:t xml:space="preserve"> société anonyme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is incorporated under the laws of Luxembourg as a professional depositary.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 holds securities for its participating organizations (“</w:t>
      </w:r>
      <w:r>
        <w:rPr>
          <w:rFonts w:ascii="Times New Roman" w:cs="Times New Roman" w:eastAsia="Times New Roman" w:hAnsi="Times New Roman"/>
          <w:sz w:val="18"/>
          <w:szCs w:val="18"/>
          <w:i w:val="1"/>
          <w:iCs w:val="1"/>
          <w:color w:val="auto"/>
        </w:rPr>
        <w:t>Clearstream Participants</w:t>
      </w:r>
      <w:r>
        <w:rPr>
          <w:rFonts w:ascii="Times New Roman" w:cs="Times New Roman" w:eastAsia="Times New Roman" w:hAnsi="Times New Roman"/>
          <w:sz w:val="18"/>
          <w:szCs w:val="18"/>
          <w:color w:val="auto"/>
        </w:rPr>
        <w:t>”) and facilitates the clearance and settlement of securities transactions between Clearstream Participants through electronic book-entry changes in accounts of Clearstream Participants, thereby eliminating the need for physical movement of certificates. Clearstream provides Clearstream Participants with, among other things, services for safekeeping, administration, clearance and establishment of internationally traded securities and securities lending and borrowing. Clearstream interfaces with domestic markets in several countries. As a professional depositary, Clearstream is subject to regulation by the Luxembourg Monetary Institute. Clearstream Participants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3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Distributions with respect to notes held beneficially through Clearstream will be credited to cash accounts of Clearstream Participants in accordance with its rules and procedures to the extent received by DTC for Clearstream.</w:t>
      </w:r>
    </w:p>
    <w:p>
      <w:pPr>
        <w:spacing w:after="0" w:line="10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Euroclear Bank S.A./N.V. (“</w:t>
      </w: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was created in 1968 to hold securities for participants of Euroclear (“</w:t>
      </w:r>
      <w:r>
        <w:rPr>
          <w:rFonts w:ascii="Times New Roman" w:cs="Times New Roman" w:eastAsia="Times New Roman" w:hAnsi="Times New Roman"/>
          <w:sz w:val="18"/>
          <w:szCs w:val="18"/>
          <w:i w:val="1"/>
          <w:iCs w:val="1"/>
          <w:color w:val="auto"/>
        </w:rPr>
        <w:t>Euroclear Participants</w:t>
      </w:r>
      <w:r>
        <w:rPr>
          <w:rFonts w:ascii="Times New Roman" w:cs="Times New Roman" w:eastAsia="Times New Roman" w:hAnsi="Times New Roman"/>
          <w:sz w:val="18"/>
          <w:szCs w:val="18"/>
          <w:color w:val="auto"/>
        </w:rPr>
        <w:t>”)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markets in several countries. Euroclear is operated by Euroclear Bank S.A./N.V. (the “</w:t>
      </w:r>
      <w:r>
        <w:rPr>
          <w:rFonts w:ascii="Times New Roman" w:cs="Times New Roman" w:eastAsia="Times New Roman" w:hAnsi="Times New Roman"/>
          <w:sz w:val="18"/>
          <w:szCs w:val="18"/>
          <w:i w:val="1"/>
          <w:iCs w:val="1"/>
          <w:color w:val="auto"/>
        </w:rPr>
        <w:t>Euroclear Operator</w:t>
      </w:r>
      <w:r>
        <w:rPr>
          <w:rFonts w:ascii="Times New Roman" w:cs="Times New Roman" w:eastAsia="Times New Roman" w:hAnsi="Times New Roman"/>
          <w:sz w:val="18"/>
          <w:szCs w:val="18"/>
          <w:color w:val="auto"/>
        </w:rPr>
        <w:t>”), under contract with Euro-clear Clearance Systems S.C., a Belgian cooperative corporation (the “</w:t>
      </w:r>
      <w:r>
        <w:rPr>
          <w:rFonts w:ascii="Times New Roman" w:cs="Times New Roman" w:eastAsia="Times New Roman" w:hAnsi="Times New Roman"/>
          <w:sz w:val="18"/>
          <w:szCs w:val="18"/>
          <w:i w:val="1"/>
          <w:iCs w:val="1"/>
          <w:color w:val="auto"/>
        </w:rPr>
        <w:t>Cooperative</w:t>
      </w:r>
      <w:r>
        <w:rPr>
          <w:rFonts w:ascii="Times New Roman" w:cs="Times New Roman" w:eastAsia="Times New Roman" w:hAnsi="Times New Roman"/>
          <w:sz w:val="18"/>
          <w:szCs w:val="18"/>
          <w:color w:val="auto"/>
        </w:rPr>
        <w:t>”). All operations are conducted by the Euroclear Operator,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Euroclear Operator is regulated and examined by the Belgian Banking Commission.</w:t>
      </w:r>
    </w:p>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Links have been established among DTC, Clearstream and Euroclear to facilitate the initial issuance of the Series M senior notes sold outside of the United States and cross-market transfers of the Series M senior notes associated with secondary market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4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Although DTC, Clearstream and Euroclear have agreed to the procedures provided below in order to facilitate transfers, they are under no obligation to perform these procedures, and these procedures may be modified or discontinued at any time. Neither we, nor the Trustee nor any of our or their respective agents will have any responsibility for the performance by DTC, Euroclear or Clearstream or their respective participants or indirect participants of their respective obligations under the rules and procedures governing their operations.</w:t>
      </w:r>
    </w:p>
    <w:p>
      <w:pPr>
        <w:spacing w:after="0" w:line="12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Clearstream and Euroclear will record the ownership interests of their participants in much the same way as DTC, and DTC will record the total ownership of each of the U.S. agents of Clearstream and Euroclear, as participants in DTC. When Series M senior notes are to be transferred from the account of a DTC participant to the account of a Clearstream Participant or a Euroclear Participant, the purchaser must send instructions to Clearstream or Euroclear through a participant at least one day prior to settlement. Clearstream or Euroclear, as the case may be, will instruct its U.S. agent to receive Series M senior notes against payment. After settlement, Clearstream or Euroclear will credit its participant’s account. Credit for the Series M senior notes will appear on the next day (European time).</w:t>
      </w:r>
    </w:p>
    <w:p>
      <w:pPr>
        <w:spacing w:after="0" w:line="13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Because settlement is taking place during New York business hours, DTC participants will be able to employ their usual procedures for sending notes to the relevant U.S. agent acting for the benefit of Clearstream Participants or Euroclear Participants. The sale proceeds will be available to DTC seller on the settlement date. As a result, to a DTC participant, a cross-market transaction will settle no differently than a trade between two DTC participants.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When a Clearstream Participant or Euroclear Participant wishes to transfer Series M senior notes to a DTC participant, the seller will be required to send instructions to Clearstream or Euroclear through a participant at least one business day prior to settlement. In these cases, Clearstream or Euroclear will instruct its U.S. agent to transfer these Series M senior notes against payment for them. The payment will then be reflected in the account of the Clearstream Participant or Euroclear Participant the following day, with the proceeds back valued to the value date, which would be the preceding day, when settlement occurs in New York, if settlement is not completed on the intended value date, that is, the trade fails, proceeds credited to the Clearstream Participant’s or Euroclear Participant’s account will instead be valued as of the actual settlement date.</w:t>
      </w:r>
    </w:p>
    <w:p>
      <w:pPr>
        <w:spacing w:after="0" w:line="13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You should be aware that you will only be able to make and receive deliveries, payments and other communications involving the Series M senior notes through Clearstream and Euroclear on the days when those clearing systems are open for business. Those systems may not be open for business on days when banks, brokers and other institutions are open for business in the United States. In addition, because of time zone differences there may be problems with completing transactions involving Clearstream and Euroclear on the same business day as in the United States.</w:t>
      </w:r>
    </w:p>
    <w:p>
      <w:pPr>
        <w:spacing w:after="0" w:line="12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Except as described below, owners of beneficial interests in the Global Notes will not have notes registered in their names, will not receive physical delivery of Series M senior notes in certificated form and will not be considered the registered owners or holders thereof under the Indenture for any purpose.</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terms of the Indenture, we and the Trustee will treat the persons in whose names the Series M senior notes are registered (including Series M senior notes represented by Global Notes) as the owners thereof for the purpose of receiving payments and for any and all other purposes whatsoever. Payments in respect of the principal, premium, liquidated damages, if any, and interest on global notes registered in the name of DTC or its nominee will be payable by the Trustee to DTC or its nominee as the registered holder under the Indenture. Consequently, neither of us or the Trustee nor any agent of ours or the Trustee has or will have any responsibility or liability for (1) any aspect of DTC’s records or any direct participant’s or indirect participant’s records relating to or payments made on account of beneficial ownership interests in the global notes or for maintaining, supervising or reviewing any of DTC’s records or any direct participant’s or indirect participant’s records relating to the beneficial ownership interests in any Global Note or (2) any other matter relating to the actions and practices of DTC or any of its direct participants or indirect participants. Transfers between participants in Euroclear and Clearstream will be effected in accordance with their respective rules and operating procedures.</w:t>
      </w:r>
    </w:p>
    <w:p>
      <w:pPr>
        <w:spacing w:after="0" w:line="13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DTC has advised us that its current payment practice (for payments of principal, interest and the like) with respect to securities such as the Series M senior notes is to credit the accounts of the relevant direct participants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such payment on the payment date in amounts proportionate to such direct participant’s respective ownership interests in the Global Notes as shown on DTC’s records. Payments by direct participants and indirect participants to the beneficial owners of the Series M senior notes will be governed by standing instructions and customary practices between them and will not be the responsibility of DTC, the Trustee or us. Neither of us or the Trustee will be liable for any delay by DTC or its direct participants or indirect participants in identifying the beneficial owners of the Series M senior notes, and we and the Trustee may conclusively rely on and will be protected in relying on instructions from DTC or its nominee as the registered owner of the Series M senior notes for all purposes.</w:t>
      </w:r>
    </w:p>
    <w:p>
      <w:pPr>
        <w:spacing w:after="0" w:line="13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The Global Notes will trade in DTC’s “Same-Day Funds Settlement System” and, therefore, transfers between direct participants in DTC will be effected in accordance with DTC’s procedures, and will be settled in immediately available funds. Transfers between indirect participants who hold an interest through a direct participant will be effected in accordance with the procedures of such direct participant but generally will settle in immediately available funds.</w:t>
      </w:r>
    </w:p>
    <w:p>
      <w:pPr>
        <w:spacing w:after="0" w:line="1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DTC has advised that it will take any action permitted to be taken by a holder of Series M senior notes only at the direction of one or more direct participants to whose account interests in the Global Notes are credited and only in respect of such portion of the aggregate principal amount of the Series M senior notes as to which such direct participant or direct participants has or have given direction. However, if there is an Event of Default under the Series M senior notes, DTC reserves the right to exchange Global Notes (without the direction of one or more of its direct participants) for legended Series M senior notes in certificated form, and to distribute such certificated forms of Series M senior notes to its direct participants. See “—Transfers of Interests in Global Notes for Certificated Notes.”</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in this section concerning DTC and its book-entry system and Euroclear and Clearstream has been obtained from sources that we believe to be reliable, but we take no responsibility for its accuracy.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Interests in Global Notes for Certificated Notes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An entire Global Note may be exchanged for definitive notes in registered, certificated form without interest coupons if (1) DTC (x) notifies us that it is unwilling or unable to continue as Depositary for the Global Notes and we thereupon fail to appoint a successor Depositary within 90 days or (y) has ceased to be a clearing agency registered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and we thereupon fail to appoint a successor Depositary, (2) we, at our option, notify the Trustee in writing that we elect to cause the issuance of certificated notes or (3) upon the request of the Trustee or holders of a majority of the outstanding principal amount of Series M senior notes, if there shall have occurred and be continuing a Default or an Event of Default with respect to the Series M senior notes. In any such case, we will notify the Trustee in writing that, upon surrender by the direct participants and indirect participants of their interest in such Global Note, certificated notes will be issued to each person that such direct participants and indirect participants and DTC identify as being the beneficial owner of the related Series M senior notes.</w:t>
      </w:r>
    </w:p>
    <w:p>
      <w:pPr>
        <w:spacing w:after="0" w:line="13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Beneficial interests in Global Notes held by any direct participant or indirect participant may be exchanged for certificated notes upon request to DTC, by such direct participant (for itself or on behalf of an indirect participant), and to the Trustee in accordance with customary DTC procedures, certificated notes delivered in exchange for any beneficial interest in any Global Notes will be registered in the names, and issued in any approved denominations, requested by DTC on behalf of such direct participants or indirect participants (in accordance with DTC’s customary procedures).</w:t>
      </w:r>
    </w:p>
    <w:p>
      <w:pPr>
        <w:spacing w:after="0" w:line="12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Neither of us nor the Trustee will be liable for any delay by the holder of any Global Notes or DTC in identifying the beneficial owners of Series M senior notes, and we and the Trustee may conclusively rely on, and will be protected in relying on, instructions from the holder of the Global Note or DTC for all purposes.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Same Day Settlement and Payment</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Indenture requires that payments in respect of the Series M senior notes represented by the Global Notes (including principal, premium, if any, interest and liquidated damages, if any) be made by wire transfer of immediately available same day funds to the accounts specified by the holder of interests in such Global Note.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4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respect to certificated notes, we will make all payments of principal, premium, if any, interest and liquidated damages, if any, by wire transfer of immediately available same day funds to the accounts specified by the holders thereof or, if no such account is specified, by mailing a check to each such holder’s registered address. The Series M senior notes represented by the Global Notes are expected to trade in DTC’s Same-Day Funds Settlement System, and any permitted secondary market trading activity in such Series M senior notes will, therefore, be required by DTC to be settled in immediately available funds. We expect that secondary trading in the certificated notes will also be settled in immediately available funds.</w:t>
      </w:r>
    </w:p>
    <w:p>
      <w:pPr>
        <w:spacing w:after="0" w:line="1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of time zone differences, the securities account of a Euroclear Participant or Clearstream Participant purchasing an interest in a Global Note from a direct participant will be credited, and any such crediting will be reported to the relevant Euroclear Participant or Clearstream Participant, during the securities settlement processing day (which must be a business day for Euroclear and Clearstream) immediately following the settlement date of DTC. DTC has advised us that cash received in Euroclear or Clearstream as a result of sales of interests in a Global Note by or through a Euroclear Participant or Clearstream Participant to a direct participant will be received with value on the settlement date of DTC but will be available in the relevant Euroclear or Clearstream cash account only as of the business day for Euroclear or Clearstream following DTC’s settlement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UNITED STATES FEDERAL INCOME TAX CONSEQUENCES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certain United States federal income tax consequences relevant to the purchase, ownership and disposition of the Series M senior notes issued pursuant to this offering, but does not purport to be a complete analysis of all potential tax effects. The effects of other U.S. federal tax laws, such as estate and gift tax laws, and any applicable state, local or foreign tax laws are not discussed. This discussion is based on the U.S.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Treasury Regulations promulgated thereunder, judicial decisions and published rulings and administrative pronouncements of the U.S. Internal Revenue Service (the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in each case in effect as of the date hereof. These authorities may change or be subject to differing interpretations. Any such change or differing interpretation may be applied retroactively in a manner that could adversely affect a holder of the Series M senior notes.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the Series M senior notes.</w:t>
      </w:r>
    </w:p>
    <w:p>
      <w:pPr>
        <w:spacing w:after="0" w:line="13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This discussion is limited to holders who hold the Series M senior notes as “capital assets” within the meaning of Section 1221 of the Code (generally, property held for investment). In addition, this discussion is limited to persons purchasing the Series M senior notes for cash at original issue and at their original “issue price” within the meaning of Section 1273 of the Code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first price at which a substantial amount of the Series M senior notes is sold to the public for cash). This discussion does not address all U.S. federal income tax consequences relevant to a holder’s particular circumstances, including the impact of the Medicare contribution tax on net investment income. In addition, it does not address consequences relevant to holders subject to special rules, including, without limitation:</w:t>
      </w:r>
    </w:p>
    <w:p>
      <w:pPr>
        <w:spacing w:after="0" w:line="13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 Series M senior notes as part of a hedge, straddle or other risk reduction strategy or as part of a conversion transaction or other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treated as partnerships for U.S. federal income tax purposes (and investors therein);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the Series M senior notes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Series E senior notes that are being redeemed with the proceeds of this offering of Series M senior notes; and</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the Series M senior notes being taken into account in an applicable financial statement.</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an entity treated as a partnership for U.S. federal income tax purposes holds the Series M senior notes, the tax treatment of a partner in the partnership will depend on the status of the partner, the activities of the partnership and certain determinations made at the partner level. Accordingly, partnerships holding the Series M senior notes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in such partnerships should consult their tax advisors regarding the U.S. federal income tax consequences to them.</w:t>
      </w:r>
    </w:p>
    <w:p>
      <w:pPr>
        <w:spacing w:after="0" w:line="16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THE SERIES M SENIOR NOTES ARISING UNDER OTHER U.S. FEDERAL TAX LAWS (INCLUDING ESTATE AND GIFT TAX LAWS), UNDER THE LAWS OF ANY STATE, LOCAL OR NON-U.S. TAXING JURISDICTION OR UNDER ANY APPLICABLE TAX TREATY.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U.S. Holder</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a Series M senior note that, for U.S. federal income tax purposes, is or is treated as:</w:t>
      </w:r>
    </w:p>
    <w:p>
      <w:pPr>
        <w:spacing w:after="0" w:line="108"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312" w:lineRule="auto"/>
        <w:tabs>
          <w:tab w:leader="none" w:pos="6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7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Interest on a Series M senior note generally will be taxable to a U.S. Holder as ordinary income at the time such interest is received or accrued, in accordance with such U.S. Holder’s method of tax accounting for U.S.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U.S. Holder will recognize gain or loss on the sale, exchange, redemption, retirement or other taxable disposition of a Series M senior note. The amount of such gain or loss will generally equal the difference between the amount received for the Series M senior note in cash or other property valued at fair market value (less amounts attributable to any accrued but unpaid interest, which will be taxable as interest to the extent not previously included in income) and the U.S. Holder’s adjusted tax basis in the Series M senior note. A U.S. Holder’s adjusted tax basis in a Series M senior note generally will be equal to the amount the U.S. Holder paid for the Series M senior note. Any gain or loss will be capital gain or loss, and will be long-term capital gain or loss if the U.S. Holder has held the Series M senior note for more than one year at the time of sale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A U.S. Holder may be subject to information reporting and backup withholding when such holder receives payments on a Series M senior note or receives proceeds from the sale or other taxable disposition of a Series M senior note (including a redemption or retirement of a Series M senior note). Certain U.S. Holders are exempt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220"/>
          </w:cols>
          <w:pgMar w:left="320" w:top="1440" w:right="359" w:bottom="1440" w:gutter="0" w:footer="0" w:header="0"/>
        </w:sectPr>
      </w:pPr>
    </w:p>
    <w:bookmarkStart w:id="36" w:name="page37"/>
    <w:bookmarkEnd w:id="36"/>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backup withholding, including corporations and certain tax-exempt organizations. A U.S. Holder will be subject to backup withholding if such holder is not otherwise exempt and:</w:t>
      </w:r>
    </w:p>
    <w:p>
      <w:pPr>
        <w:spacing w:after="0" w:line="108"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furnish the holder’s taxpayer identification number, which for an individual is ordinarily his or her social security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furnishes an incorrect taxpayer identification number;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withholding agent is notified by the IRS that the holder previously failed to properly report payments of interest or dividends;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0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Applicable to 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of a Non-U.S. Holder</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a Series M senior note that is neither a U.S. Holder nor an entity treated as a partnership for U.S. federal income tax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1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paid or accrued on a Series M senior note to a Non-U.S. Holder that is not effectively connected with the Non-U.S. Holder’s conduct of a trade or business within the United States generally will not be subject to U.S. federal income tax or withholding tax, provided that:</w:t>
      </w:r>
    </w:p>
    <w:p>
      <w:pPr>
        <w:spacing w:after="0" w:line="108"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does not, actually or constructively, own 10% or more of our capital or profits;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not a controlled foreign corporation related to us through actual or constructive stock ownership; and</w:t>
      </w:r>
    </w:p>
    <w:p>
      <w:pPr>
        <w:spacing w:after="0" w:line="171"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Series M senior note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a copy of such statement to the applicable withholding agent; or (3) the Non-U.S. Holder holds its note directly through a “qualified intermediary” (within the meaning of applicable Treasury Regulations) and certain conditions are satisfied.</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a non-U.S. Holder does not satisfy the requirements above, interest paid on a Series M senior note will generally be subject to withholding tax of 30% (or such lower rate specified by an applicable income tax treaty). To claim a reduction in or exemption from withholding under an applicable tax treaty,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interest paid to a Non-U.S. Holder is effectively connected with the Non-U.S. Holder’s conduct of a trade or business within the United States (and, if required by an applicable income tax treaty, the Non-U.S.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Series M senior note is not subject to withholding tax because it is effectively connected with the conduct by the Non-U.S. Holder of a trade or business within the United States.</w:t>
      </w:r>
    </w:p>
    <w:p>
      <w:pPr>
        <w:spacing w:after="0" w:line="12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Any such effectively connected interest generally will be subject to U.S. federal income tax at the regular rates applicable to U.S. persons. A Non-U.S. Holder that is a corporation also may be subject to a branch profits tax at a rate of 30% (or such lower rate specified by an applicable income tax treaty) on such effectively connected interest, as adjusted for certain items.</w:t>
      </w:r>
    </w:p>
    <w:p>
      <w:pPr>
        <w:spacing w:after="0" w:line="12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exchange, redemption, retirement or other taxable disposition of a Series M senior note (such amount excludes any amount allocable to accrued and unpaid interest, which generally will be treated as interest and may be subject to the rules discussed above in “—Tax Consequences Applicable to Non-U.S. Holders—Interest”) unless:</w:t>
      </w:r>
    </w:p>
    <w:p>
      <w:pPr>
        <w:spacing w:after="0" w:line="122" w:lineRule="exact"/>
        <w:rPr>
          <w:sz w:val="20"/>
          <w:szCs w:val="20"/>
          <w:color w:val="auto"/>
        </w:rPr>
      </w:pPr>
    </w:p>
    <w:p>
      <w:pPr>
        <w:ind w:left="660" w:right="60" w:hanging="328"/>
        <w:spacing w:after="0" w:line="312" w:lineRule="auto"/>
        <w:tabs>
          <w:tab w:leader="none" w:pos="6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85" w:lineRule="exact"/>
        <w:rPr>
          <w:rFonts w:ascii="Times New Roman" w:cs="Times New Roman" w:eastAsia="Times New Roman" w:hAnsi="Times New Roman"/>
          <w:sz w:val="17"/>
          <w:szCs w:val="17"/>
          <w:color w:val="auto"/>
        </w:rPr>
      </w:pPr>
    </w:p>
    <w:p>
      <w:pPr>
        <w:ind w:left="660" w:right="1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applicable to U.S. persons. A Non-U.S. Holder that is a foreign corporation also may be subject to a branch profits tax at a rate of 30% (or such lower rate specified by an applicable income tax treaty) on such effectively connected gain, as adjusted for certain items.</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22" w:lineRule="exact"/>
        <w:rPr>
          <w:sz w:val="20"/>
          <w:szCs w:val="20"/>
          <w:color w:val="auto"/>
        </w:rPr>
      </w:pPr>
    </w:p>
    <w:p>
      <w:pPr>
        <w:ind w:right="1680"/>
        <w:spacing w:after="0" w:line="438" w:lineRule="auto"/>
        <w:rPr>
          <w:sz w:val="20"/>
          <w:szCs w:val="20"/>
          <w:color w:val="auto"/>
        </w:rPr>
      </w:pPr>
      <w:r>
        <w:rPr>
          <w:rFonts w:ascii="Times New Roman" w:cs="Times New Roman" w:eastAsia="Times New Roman" w:hAnsi="Times New Roman"/>
          <w:sz w:val="18"/>
          <w:szCs w:val="18"/>
          <w:color w:val="auto"/>
        </w:rPr>
        <w:t xml:space="preserve">Non-U.S. Holders should consult their tax advisors regarding any applicable income tax treaties that may provide for different rules. </w:t>
      </w:r>
      <w:r>
        <w:rPr>
          <w:rFonts w:ascii="Times New Roman" w:cs="Times New Roman" w:eastAsia="Times New Roman" w:hAnsi="Times New Roman"/>
          <w:sz w:val="18"/>
          <w:szCs w:val="18"/>
          <w:b w:val="1"/>
          <w:bCs w:val="1"/>
          <w:i w:val="1"/>
          <w:iCs w:val="1"/>
          <w:color w:val="auto"/>
        </w:rPr>
        <w:t>Information Reporting and Backup Withholding</w:t>
      </w:r>
    </w:p>
    <w:p>
      <w:pPr>
        <w:spacing w:after="0" w:line="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Payments of interest generally will not be subject to backup withholding, provided the applicable withholding agent does not have actual knowledge or reason to know the holder is a United States person and the holder certifies its non-U.S. status as described above under “—Tax Consequences Applicable to Non-U.S. Holders—Interest.” However, information returns are required to be filed with the IRS in connection with any interest paid to the Non-U.S. Holder, regardless of whether any tax was actually withheld. In addition, proceeds of the sale or other taxable disposition of a Series M senior note (including a retirement or redemption of the Series M senior note) within the United States or conducted through certain U.S.-related brokers generally will not be subject to backup withholding or information reporting, if the applicable withholding agent receives the statement described above and does not have actual knowledge or reason to know that such holder is a United States person or the holder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establishes an exemption. Proceeds of a disposition of a Series M senior note paid outside the United States and conducted through a non-U.S. office of a non-U.S. broker generally will not be subject to backup withholding or information reporting.</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w:t>
      </w:r>
      <w:r>
        <w:rPr>
          <w:rFonts w:ascii="Times New Roman" w:cs="Times New Roman" w:eastAsia="Times New Roman" w:hAnsi="Times New Roman"/>
          <w:sz w:val="18"/>
          <w:szCs w:val="18"/>
          <w:i w:val="1"/>
          <w:iCs w:val="1"/>
          <w:color w:val="auto"/>
        </w:rPr>
        <w:t>FATCA</w:t>
      </w:r>
      <w:r>
        <w:rPr>
          <w:rFonts w:ascii="Times New Roman" w:cs="Times New Roman" w:eastAsia="Times New Roman" w:hAnsi="Times New Roman"/>
          <w:sz w:val="18"/>
          <w:szCs w:val="18"/>
          <w:color w:val="auto"/>
        </w:rPr>
        <w:t>”) on certain types of payments made to non-U.S. financial institutions and certain other non-U.S. entities. Specifically, a 30% withholding tax may be imposed on payments of interest on, or (subject to the proposed Treasury Regulations discussed below) gross proceeds from the sale or other disposition of, a Series M senior note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interest on a Series M senior note. While withholding under FATCA would have applied also to payments of gross proceeds from the sale or other disposition of a Series M senior note, proposed Treasury Regulations eliminate FATCA withholding on payments of gross proceeds entirely. Taxpayers generally may rely on these proposed Treasury Regulations until final Treasury Regulations are issued.</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tax advisors regarding the potential application of withholding under FATCA to their investment in the Series M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Morgan Stanley &amp; Co. LLC, BofA Securities, Inc. and J.P. Morgan Securities LLC are acting as representatives of each of the underwriters named below. Subject to the terms and conditions set forth in a firm commitment underwriting agreement among us and the underwriters, we have agreed to sell to the underwriters, and each of the underwriters has agreed, severally and not jointly, to purchase from us, the principal amount of Series M senior notes set forth opposite its name below at the public offering price less the underwriting discount set forth on the cover page of this prospectus supplement.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20" w:type="dxa"/>
            <w:vAlign w:val="bottom"/>
          </w:tcPr>
          <w:p>
            <w:pPr>
              <w:spacing w:after="0"/>
              <w:rPr>
                <w:sz w:val="13"/>
                <w:szCs w:val="13"/>
                <w:color w:val="auto"/>
              </w:rPr>
            </w:pPr>
          </w:p>
        </w:tc>
        <w:tc>
          <w:tcPr>
            <w:tcW w:w="14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0" w:type="dxa"/>
            <w:vAlign w:val="bottom"/>
          </w:tcPr>
          <w:p>
            <w:pPr>
              <w:spacing w:after="0"/>
              <w:rPr>
                <w:sz w:val="1"/>
                <w:szCs w:val="1"/>
                <w:color w:val="auto"/>
              </w:rPr>
            </w:pPr>
          </w:p>
        </w:tc>
      </w:tr>
      <w:tr>
        <w:trPr>
          <w:trHeight w:val="195"/>
        </w:trPr>
        <w:tc>
          <w:tcPr>
            <w:tcW w:w="96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28"/>
        </w:trPr>
        <w:tc>
          <w:tcPr>
            <w:tcW w:w="9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BofA Securities, Inc.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J.P. Morgan Securities LLC</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Truist Securities, Inc.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30"/>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PNC Capital Markets LLC</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Scotia Capital (USA) Inc.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SMBC Nikko Securities America, Inc.</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TD Securities (USA) LLC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BNY Mellon Capital Markets, LLC</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22,500,000</w:t>
            </w:r>
          </w:p>
        </w:tc>
        <w:tc>
          <w:tcPr>
            <w:tcW w:w="0" w:type="dxa"/>
            <w:vAlign w:val="bottom"/>
          </w:tcPr>
          <w:p>
            <w:pPr>
              <w:spacing w:after="0"/>
              <w:rPr>
                <w:sz w:val="1"/>
                <w:szCs w:val="1"/>
                <w:color w:val="auto"/>
              </w:rPr>
            </w:pPr>
          </w:p>
        </w:tc>
      </w:tr>
      <w:tr>
        <w:trPr>
          <w:trHeight w:val="230"/>
        </w:trPr>
        <w:tc>
          <w:tcPr>
            <w:tcW w:w="9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Agricole Securities (USA) Inc.</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22,500,000</w:t>
            </w:r>
          </w:p>
        </w:tc>
        <w:tc>
          <w:tcPr>
            <w:tcW w:w="0" w:type="dxa"/>
            <w:vAlign w:val="bottom"/>
          </w:tcPr>
          <w:p>
            <w:pPr>
              <w:spacing w:after="0"/>
              <w:rPr>
                <w:sz w:val="1"/>
                <w:szCs w:val="1"/>
                <w:color w:val="auto"/>
              </w:rPr>
            </w:pPr>
          </w:p>
        </w:tc>
      </w:tr>
      <w:tr>
        <w:trPr>
          <w:trHeight w:val="229"/>
        </w:trPr>
        <w:tc>
          <w:tcPr>
            <w:tcW w:w="9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Samuel A. Ramirez &amp; Company, Inc.</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0" w:type="dxa"/>
            <w:vAlign w:val="bottom"/>
          </w:tcPr>
          <w:p>
            <w:pPr>
              <w:spacing w:after="0"/>
              <w:rPr>
                <w:sz w:val="1"/>
                <w:szCs w:val="1"/>
                <w:color w:val="auto"/>
              </w:rPr>
            </w:pPr>
          </w:p>
        </w:tc>
      </w:tr>
      <w:tr>
        <w:trPr>
          <w:trHeight w:val="229"/>
        </w:trPr>
        <w:tc>
          <w:tcPr>
            <w:tcW w:w="96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500,000,000</w:t>
            </w:r>
          </w:p>
        </w:tc>
        <w:tc>
          <w:tcPr>
            <w:tcW w:w="0" w:type="dxa"/>
            <w:vAlign w:val="bottom"/>
          </w:tcPr>
          <w:p>
            <w:pPr>
              <w:spacing w:after="0"/>
              <w:rPr>
                <w:sz w:val="1"/>
                <w:szCs w:val="1"/>
                <w:color w:val="auto"/>
              </w:rPr>
            </w:pPr>
          </w:p>
        </w:tc>
      </w:tr>
      <w:tr>
        <w:trPr>
          <w:trHeight w:val="21"/>
        </w:trPr>
        <w:tc>
          <w:tcPr>
            <w:tcW w:w="9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Series M senior notes sold under the underwriting agreement if any of these Series M senior notes are purchased. If an underwriter defaults, the underwriting agreement provides that the purchase commitments of the non-defaulting underwriters may be increased or the underwriting agreement may be terminated. The offering of the Series M senior notes by the underwriters is subject to receipt and acceptance and subject to the underwriters’ right to reject any order in whole or in part.</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and their controlling persons against certain liabilities in connection with this offering, including liabilities under the Securities Act, or to contribute to payments the underwriters may be required to make in respect of those liabilities.</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Series M senior notes, subject to prior sale, when, as and if issued to and accepted by them, subject to approval of legal matters by their counsel, including the validity of the Series M senior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2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Series M senior notes to the public at the public offering price set forth on the cover page of this prospectus supplement and may offer the Series M senior notes to certain dealers at a price that represents a concession not in excess of 0.375% of the principal amount of the Series M senior notes. The underwriters may allow, and such dealers may re-allow, a concession not in excess of 0.25% of the principal amount of the Series M senior notes to certain other dealers. After the initial offering, the public offering price or any other term of the offering may be changed.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underwriting discount that we are to pay to the underwriters in connection with this offering.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220" w:type="dxa"/>
            <w:vAlign w:val="bottom"/>
          </w:tcPr>
          <w:p>
            <w:pPr>
              <w:spacing w:after="0"/>
              <w:rPr>
                <w:sz w:val="16"/>
                <w:szCs w:val="16"/>
                <w:color w:val="auto"/>
              </w:rPr>
            </w:pPr>
          </w:p>
        </w:tc>
        <w:tc>
          <w:tcPr>
            <w:tcW w:w="150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 by Host L.P.</w:t>
            </w:r>
          </w:p>
        </w:tc>
      </w:tr>
      <w:tr>
        <w:trPr>
          <w:trHeight w:val="23"/>
        </w:trPr>
        <w:tc>
          <w:tcPr>
            <w:tcW w:w="9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Series M senior note.</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0.625 %</w:t>
            </w:r>
          </w:p>
        </w:tc>
      </w:tr>
      <w:tr>
        <w:trPr>
          <w:trHeight w:val="234"/>
        </w:trPr>
        <w:tc>
          <w:tcPr>
            <w:tcW w:w="95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3,125,000</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$1,700,000 and are payable by 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Series M senior notes are a new issue of securities with no established trading market. We do not intend to apply for listing of the Series M senior notes on any securities exchange or for inclusion of the Series M senior notes on any automated dealer quotation system. We have been advised by the underwriters that they presently intend to make a market in the Series M senior notes after completion of the offering. However, they are under no obligation to do so and may discontinue any market-making activities at any time without any notice. We cannot assure the liquidity of the trading market for the Series M senior notes or that an active public market for the Series M senior notes will develop. If an active public trading market for the Series M senior notes does not develop, the market price and liquidity of the Series M senior notes may be adversely affected. If the Series M senior notes are traded, they may trade at a discount from their initial offering price, depending on prevailing interest rates, the market for similar securities, our operating performance and financial condition, general economic conditions and other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expect that delivery of the Series M senior notes will be made to investors on or about May 20, 2025, which will be the tenth business day following the date of this prospectus supplement (such settlement being referred to as “</w:t>
      </w:r>
      <w:r>
        <w:rPr>
          <w:rFonts w:ascii="Times New Roman" w:cs="Times New Roman" w:eastAsia="Times New Roman" w:hAnsi="Times New Roman"/>
          <w:sz w:val="18"/>
          <w:szCs w:val="18"/>
          <w:i w:val="1"/>
          <w:iCs w:val="1"/>
          <w:color w:val="auto"/>
        </w:rPr>
        <w:t>T+10</w:t>
      </w:r>
      <w:r>
        <w:rPr>
          <w:rFonts w:ascii="Times New Roman" w:cs="Times New Roman" w:eastAsia="Times New Roman" w:hAnsi="Times New Roman"/>
          <w:sz w:val="18"/>
          <w:szCs w:val="18"/>
          <w:color w:val="auto"/>
        </w:rPr>
        <w:t>”). Under Rule 15c6-1 under the Exchange Act, trades in the secondary market are required to settle in one business day, unless the parties to any such trade expressly agree otherwise. Accordingly, purchasers who wish to trade Series M senior notes on any date that is more than one business day prior to the date of delivery of the Series M senior notes will be required, by virtue of the fact that the Series M senior notes initially settle in T+10, to specify an alternate settlement arrangement at the time of any such trade to prevent a failed settlement. Purchasers of the Series M senior notes who wish to trade the Series M senior notes on any date that is more than one business day prior to the date of delivery of the Series M senior notes should consult their advisors.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have agreed that we will not, from the date of this prospectus supplement through the settlement date, without first obtaining the prior written consent of the representatives, directly or indirectly, offer, sell, contract to sell or otherwise transfer or dispose of any debt securities or any warrants, rights or options to purchase or otherwise acquire debt securities substantially similar to the Series M senior notes, except for the Series M senior notes sold to the underwriters pursuant to the underwriting agreement and commercial paper issued in the ordinary course of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the Series M senior notes in the open market. These transactions may include short sales and purchases on the open market to cover positions created by short sales. Short sales involve the sale by the underwriters of a greater principal amount of Series M senior notes than they are required to purchase in the offering. The underwriters must close out any short position by purchasing Series M senior notes in the open market. A short position is more likely to be created if the underwriters are concerned that there may be downward pressure on the price of the Series M senior notes in the open market after pricing that could adversely affect investors who purchase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4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the Series M senior notes or preventing or slowing a decline in the market price of the Series M senior notes. As a result, the price of the Series M senior notes may be higher than the price that might otherwise exist in the open market.</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the Series M senior notes. In addition, neither we nor any of the underwriters make any representation that the representatives will engage in these transactions or that these transactions, once commenced, will not be discontinued without notice.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and have in the past and may in the future engage in various activities, which may include securities trading, investment banking, commercial banking, financial advisory, investment management, investment research, principal investment, hedging, financing and brokerage activities or other transactions of a financial nature with us or our affiliates, including the provision of advisory services and the making of loans to us and our affiliates, for which they would receive customary fees. In particular, Morgan Stanley Senior Funding, Inc., an affiliate of Morgan Stanley &amp; Co. LLC, is a documentation agent and a lender, Morgan Stanley Bank, N.A., an affiliate of Morgan Stanley &amp; Co. LLC, is a lender, Bank of America, N.A., an affiliate of BofA Securities, Inc., is the administrative agent and a lender, JPMorgan Chase Bank, N.A., an affiliate of J.P. Morgan Securities LLC, is a co-syndication agent and a lender, Wells Fargo Bank, N.A., an affiliate of Wells Fargo Securities, LLC, is a co-syndication agent and a lender, Goldman Sachs Bank USA, an affiliate of Goldman Sachs &amp; Co., is a documentation agent and a lender, Truist Bank, N.A., an affiliate of Truist Securities, Inc., is a documentation agent and a joint lead arranger, PNC Bank, N.A., an affiliate of PNC Capital Markets LLC, is a lender, The Bank of Nova Scotia, an affiliate of Scotia Capital (USA) Inc., is a documentation agent and a lender, Sumitono Mitsui Banking Corporation, an affiliate of SMBC Nikko Securities America, Inc., is a documentation agent and a lender, TD Bank, N.A., an affiliate of TD Securities (USA) LLC, is a documentation agent and a lender, and Credit Agricole Corporate and Investment Bank, an affiliate of Credit Agricole Securities (USA) Inc., is the sustainability structuring agent and a lender, in each case under our Credit Facility. The Bank of New York Mellon, an affiliate of BNY Capital Markets, LLC, acts as trustee under the Indenture for our senior notes and as a documentation agent and a lender under our Credit Facility.</w:t>
      </w:r>
    </w:p>
    <w:p>
      <w:pPr>
        <w:spacing w:after="0" w:line="13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described above under “Use of Proceeds,” we intend to use net proceeds from this offering to redeem all of the outstanding $500 million aggregate principal amount of our Series E senior notes. Certain of the underwriters or their affiliates may hold our Series E senior notes and, as a result of the redemption thereof as set forth under the heading “Use of Proceeds” in this prospectus supplement, may receive a portion of the net proceeds from this offering. In addition, some of the underwriters or their affiliates that have a lending relationship with us routinely hedge, are likely to hedge, or may, in the future,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Series M senior notes offered hereby. Any such credit default swaps or short positions could adversely affect future trading prices of the Series M senior notes offered hereby.</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underwriters and their respective affiliates may make or hold a broad array of investments, including serving as counterparties to certain derivative and hedging arrangements, and actively trade debt and equity securities (or related derivative securities) and financial instruments (including bank loans) for their own account and for the accounts of their customers and such investment and securities activities may involve our securities and/or other of our financial instruments.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Series M senior notes are not intended to be offered, sold or otherwise made available to and should not be offered, sold or otherwise made available to any retail investor in the European Economic Area (“</w:t>
      </w:r>
      <w:r>
        <w:rPr>
          <w:rFonts w:ascii="Times New Roman" w:cs="Times New Roman" w:eastAsia="Times New Roman" w:hAnsi="Times New Roman"/>
          <w:sz w:val="18"/>
          <w:szCs w:val="18"/>
          <w:i w:val="1"/>
          <w:iCs w:val="1"/>
          <w:color w:val="auto"/>
        </w:rPr>
        <w:t>EEA</w:t>
      </w:r>
      <w:r>
        <w:rPr>
          <w:rFonts w:ascii="Times New Roman" w:cs="Times New Roman" w:eastAsia="Times New Roman" w:hAnsi="Times New Roman"/>
          <w:sz w:val="18"/>
          <w:szCs w:val="18"/>
          <w:color w:val="auto"/>
        </w:rPr>
        <w:t>”). For these purposes, a retail investor means a person who is one (or more) of: (i) a retail client as defined in point (11) of Article 4(1) of Directive 2014/65/EU (as amended, “</w:t>
      </w:r>
      <w:r>
        <w:rPr>
          <w:rFonts w:ascii="Times New Roman" w:cs="Times New Roman" w:eastAsia="Times New Roman" w:hAnsi="Times New Roman"/>
          <w:sz w:val="18"/>
          <w:szCs w:val="18"/>
          <w:i w:val="1"/>
          <w:iCs w:val="1"/>
          <w:color w:val="auto"/>
        </w:rPr>
        <w:t>MiFID II</w:t>
      </w:r>
      <w:r>
        <w:rPr>
          <w:rFonts w:ascii="Times New Roman" w:cs="Times New Roman" w:eastAsia="Times New Roman" w:hAnsi="Times New Roman"/>
          <w:sz w:val="18"/>
          <w:szCs w:val="18"/>
          <w:color w:val="auto"/>
        </w:rPr>
        <w:t>”); (ii) a customer within the meaning of Directive (EU) 2016/97 (as amended, the “</w:t>
      </w:r>
      <w:r>
        <w:rPr>
          <w:rFonts w:ascii="Times New Roman" w:cs="Times New Roman" w:eastAsia="Times New Roman" w:hAnsi="Times New Roman"/>
          <w:sz w:val="18"/>
          <w:szCs w:val="18"/>
          <w:i w:val="1"/>
          <w:iCs w:val="1"/>
          <w:color w:val="auto"/>
        </w:rPr>
        <w:t>Insurance Distribution Directive</w:t>
      </w:r>
      <w:r>
        <w:rPr>
          <w:rFonts w:ascii="Times New Roman" w:cs="Times New Roman" w:eastAsia="Times New Roman" w:hAnsi="Times New Roman"/>
          <w:sz w:val="18"/>
          <w:szCs w:val="18"/>
          <w:color w:val="auto"/>
        </w:rPr>
        <w:t>”), where that customer would not qualify as a professional client as defined in point (10) of Article 4(1) of MiFID II; or (iii) not a qualified investor as defined in Regulation (EU) 2017/1129 (as amended, the “</w:t>
      </w:r>
      <w:r>
        <w:rPr>
          <w:rFonts w:ascii="Times New Roman" w:cs="Times New Roman" w:eastAsia="Times New Roman" w:hAnsi="Times New Roman"/>
          <w:sz w:val="18"/>
          <w:szCs w:val="18"/>
          <w:i w:val="1"/>
          <w:iCs w:val="1"/>
          <w:color w:val="auto"/>
        </w:rPr>
        <w:t>Prospectus Regulation</w:t>
      </w:r>
      <w:r>
        <w:rPr>
          <w:rFonts w:ascii="Times New Roman" w:cs="Times New Roman" w:eastAsia="Times New Roman" w:hAnsi="Times New Roman"/>
          <w:sz w:val="18"/>
          <w:szCs w:val="18"/>
          <w:color w:val="auto"/>
        </w:rPr>
        <w:t>”). Consequently no key information document required by Regulation (EU) No 1286/2014 (as amended, the “</w:t>
      </w:r>
      <w:r>
        <w:rPr>
          <w:rFonts w:ascii="Times New Roman" w:cs="Times New Roman" w:eastAsia="Times New Roman" w:hAnsi="Times New Roman"/>
          <w:sz w:val="18"/>
          <w:szCs w:val="18"/>
          <w:i w:val="1"/>
          <w:iCs w:val="1"/>
          <w:color w:val="auto"/>
        </w:rPr>
        <w:t>PRIIPs Regulation</w:t>
      </w:r>
      <w:r>
        <w:rPr>
          <w:rFonts w:ascii="Times New Roman" w:cs="Times New Roman" w:eastAsia="Times New Roman" w:hAnsi="Times New Roman"/>
          <w:sz w:val="18"/>
          <w:szCs w:val="18"/>
          <w:color w:val="auto"/>
        </w:rPr>
        <w:t>”) for offering or selling the Series M senior notes or otherwise making them available to retail investors in the EEA has been prepared and therefore offering or selling the Series M senior notes or otherwise making them available to any retail investor in the EEA may be unlawful under the PRIIPS Regulation. This prospectus supplement and the accompanying prospectus have been prepared on the basis that any offer of Series M senior notes in any Member State of the EEA will be made pursuant to an exemption under the Prospectus Regulation from the requirement to publish a prospectus for offers of notes. This prospectus supplement and the accompanying prospectus are not a prospectus for the purposes of the Prospectus Regulation.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forth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7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Series M senior notes are not intended to be offered, sold or otherwise made available to and should not be offered, sold or otherwise made available to any retail investor in the United Kingdom (the “</w:t>
      </w:r>
      <w:r>
        <w:rPr>
          <w:rFonts w:ascii="Times New Roman" w:cs="Times New Roman" w:eastAsia="Times New Roman" w:hAnsi="Times New Roman"/>
          <w:sz w:val="18"/>
          <w:szCs w:val="18"/>
          <w:i w:val="1"/>
          <w:iCs w:val="1"/>
          <w:color w:val="auto"/>
        </w:rPr>
        <w:t>UK</w:t>
      </w:r>
      <w:r>
        <w:rPr>
          <w:rFonts w:ascii="Times New Roman" w:cs="Times New Roman" w:eastAsia="Times New Roman" w:hAnsi="Times New Roman"/>
          <w:sz w:val="18"/>
          <w:szCs w:val="18"/>
          <w:color w:val="auto"/>
        </w:rPr>
        <w:t>”). For these purposes, a retail investor means a person who is one (or more) of: (i) a retail client as defined in point (8) of Article 2 of Regulation (EU) No 2017/565 as it forms part of domestic law in the UK by virtue of the European Union (Withdrawal) Act 2018 (the “</w:t>
      </w:r>
      <w:r>
        <w:rPr>
          <w:rFonts w:ascii="Times New Roman" w:cs="Times New Roman" w:eastAsia="Times New Roman" w:hAnsi="Times New Roman"/>
          <w:sz w:val="18"/>
          <w:szCs w:val="18"/>
          <w:i w:val="1"/>
          <w:iCs w:val="1"/>
          <w:color w:val="auto"/>
        </w:rPr>
        <w:t>EUWA</w:t>
      </w:r>
      <w:r>
        <w:rPr>
          <w:rFonts w:ascii="Times New Roman" w:cs="Times New Roman" w:eastAsia="Times New Roman" w:hAnsi="Times New Roman"/>
          <w:sz w:val="18"/>
          <w:szCs w:val="18"/>
          <w:color w:val="auto"/>
        </w:rPr>
        <w:t>”); (ii) a customer within the meaning of the provisions of the Financial Services and Markets Act 2000 (as amended, the “</w:t>
      </w:r>
      <w:r>
        <w:rPr>
          <w:rFonts w:ascii="Times New Roman" w:cs="Times New Roman" w:eastAsia="Times New Roman" w:hAnsi="Times New Roman"/>
          <w:sz w:val="18"/>
          <w:szCs w:val="18"/>
          <w:i w:val="1"/>
          <w:iCs w:val="1"/>
          <w:color w:val="auto"/>
        </w:rPr>
        <w:t>FSMA</w:t>
      </w:r>
      <w:r>
        <w:rPr>
          <w:rFonts w:ascii="Times New Roman" w:cs="Times New Roman" w:eastAsia="Times New Roman" w:hAnsi="Times New Roman"/>
          <w:sz w:val="18"/>
          <w:szCs w:val="18"/>
          <w:color w:val="auto"/>
        </w:rPr>
        <w:t>”) and any rules or regulations made under the FSMA to implement Directive (EU) 2016/97, where that customer would not qualify as a professional client as defined in point (8) of Article 2(1) of Regulation (EU) No 600/2014 as it forms part of domestic law in the UK by virtue of the EUWA; or (iii) not a qualified investor as defined in Article 2 of Regulation (EU) 2017/1129 as it forms part of domestic law in the UK by virtue of the EUWA (as amended, the “</w:t>
      </w:r>
      <w:r>
        <w:rPr>
          <w:rFonts w:ascii="Times New Roman" w:cs="Times New Roman" w:eastAsia="Times New Roman" w:hAnsi="Times New Roman"/>
          <w:sz w:val="18"/>
          <w:szCs w:val="18"/>
          <w:i w:val="1"/>
          <w:iCs w:val="1"/>
          <w:color w:val="auto"/>
        </w:rPr>
        <w:t>UK Prospectus Regulation</w:t>
      </w:r>
      <w:r>
        <w:rPr>
          <w:rFonts w:ascii="Times New Roman" w:cs="Times New Roman" w:eastAsia="Times New Roman" w:hAnsi="Times New Roman"/>
          <w:sz w:val="18"/>
          <w:szCs w:val="18"/>
          <w:color w:val="auto"/>
        </w:rPr>
        <w:t>”). Consequently no key information document required by Regulation (EU) No 1286/2014 as it forms part of domestic law in the UK by virtue of the EUWA (the “</w:t>
      </w:r>
      <w:r>
        <w:rPr>
          <w:rFonts w:ascii="Times New Roman" w:cs="Times New Roman" w:eastAsia="Times New Roman" w:hAnsi="Times New Roman"/>
          <w:sz w:val="18"/>
          <w:szCs w:val="18"/>
          <w:i w:val="1"/>
          <w:iCs w:val="1"/>
          <w:color w:val="auto"/>
        </w:rPr>
        <w:t>UK PRIIPs Regulation</w:t>
      </w:r>
      <w:r>
        <w:rPr>
          <w:rFonts w:ascii="Times New Roman" w:cs="Times New Roman" w:eastAsia="Times New Roman" w:hAnsi="Times New Roman"/>
          <w:sz w:val="18"/>
          <w:szCs w:val="18"/>
          <w:color w:val="auto"/>
        </w:rPr>
        <w:t>”) for offering or selling the Series M senior notes or otherwise making them available to retail investors in the UK has been prepared and therefore offering or selling the Series M senior notes or otherwise making them available to any retail investor in the UK may be unlawful under the UK PRIIPs Regulation. This prospectus supplement and the accompanying prospectus have been prepared on the basis that any offer of Series M senior notes in the UK will be made pursuant to an exemption under the UK Prospectus Regulation and the FSMA from the requirement to publish a prospectus for offers of notes. This prospectus supplement and the accompanying prospectus are not a prospectus for the purposes of the UK Prospectus Regulation or the FSMA.</w:t>
      </w:r>
    </w:p>
    <w:p>
      <w:pPr>
        <w:spacing w:after="0" w:line="14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UK, 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w:t>
      </w:r>
      <w:r>
        <w:rPr>
          <w:rFonts w:ascii="Times New Roman" w:cs="Times New Roman" w:eastAsia="Times New Roman" w:hAnsi="Times New Roman"/>
          <w:sz w:val="18"/>
          <w:szCs w:val="18"/>
          <w:i w:val="1"/>
          <w:iCs w:val="1"/>
          <w:color w:val="auto"/>
        </w:rPr>
        <w:t>Financial Promotion Order</w:t>
      </w:r>
      <w:r>
        <w:rPr>
          <w:rFonts w:ascii="Times New Roman" w:cs="Times New Roman" w:eastAsia="Times New Roman" w:hAnsi="Times New Roman"/>
          <w:sz w:val="18"/>
          <w:szCs w:val="18"/>
          <w:color w:val="auto"/>
        </w:rPr>
        <w:t>”); (ii) are persons falling within Article 49(2)(a) to (d) (“high net worth companies, unincorporated associations etc.”) of the Financial Promotion Order; (iii) are outside the UK; or (iv) are persons to whom an invitation or inducement to engage in investment activity (within the meaning of Section 21 of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in the UK by persons who are not relevant persons. In the UK, any investment or investment activity to which this document relates is available only to relevant persons and will be engaged in only with relevant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None of this prospectus supplement, the accompanying prospectus nor any other offering or marketing material relating to the offering, the Company or the Series M senior notes is intended to constitute an offer or solicitation to purchase or invest in the Series M senior notes. The Series M senior notes may not be publicly offered, directly or indirectly, in Switzerland within the meaning of the Swiss Financial Services Act (“</w:t>
      </w:r>
      <w:r>
        <w:rPr>
          <w:rFonts w:ascii="Times New Roman" w:cs="Times New Roman" w:eastAsia="Times New Roman" w:hAnsi="Times New Roman"/>
          <w:sz w:val="18"/>
          <w:szCs w:val="18"/>
          <w:i w:val="1"/>
          <w:iCs w:val="1"/>
          <w:color w:val="auto"/>
        </w:rPr>
        <w:t>FinSA</w:t>
      </w:r>
      <w:r>
        <w:rPr>
          <w:rFonts w:ascii="Times New Roman" w:cs="Times New Roman" w:eastAsia="Times New Roman" w:hAnsi="Times New Roman"/>
          <w:sz w:val="18"/>
          <w:szCs w:val="18"/>
          <w:color w:val="auto"/>
        </w:rPr>
        <w:t>”) and no application has or will be made to admit the Series M senior notes to trading on any trading venue (exchange or multilateral trading facility) in Switzerland. Neither this prospectus supplement, the accompanying prospectus nor any other offering or marketing material relating to the offering, the Company or the Series M senior notes constitutes a prospectus pursuant to the FinSA, and neither this prospectus supplement, the accompanying prospectus nor any other offering or marketing material relating to the offering, the Company or the Series M senior notes may be publicly distributed or otherwise made publicly available in Switzerland.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DFSA</w:t>
      </w:r>
      <w:r>
        <w:rPr>
          <w:rFonts w:ascii="Times New Roman" w:cs="Times New Roman" w:eastAsia="Times New Roman" w:hAnsi="Times New Roman"/>
          <w:sz w:val="18"/>
          <w:szCs w:val="18"/>
          <w:color w:val="auto"/>
        </w:rPr>
        <w:t>”).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Series M senior notes to which this prospectus supplement relates may be illiquid and/or subject to restrictions on their resale. Prospective purchasers of the Series M senior notes offered should conduct their own due diligence on the Series M senior notes. If you do not understand the contents of this prospectus supplement you should consult an authorized financial advisor.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Series M senior notes may not be offered or sold in Hong Kong by means of any document other than (a) to “professional investors” as defined in the Securities and Futures Ordinance (Cap.571 of the Laws of Hong Kong) (the “</w:t>
      </w:r>
      <w:r>
        <w:rPr>
          <w:rFonts w:ascii="Times New Roman" w:cs="Times New Roman" w:eastAsia="Times New Roman" w:hAnsi="Times New Roman"/>
          <w:sz w:val="18"/>
          <w:szCs w:val="18"/>
          <w:i w:val="1"/>
          <w:iCs w:val="1"/>
          <w:color w:val="auto"/>
        </w:rPr>
        <w:t>SFO</w:t>
      </w:r>
      <w:r>
        <w:rPr>
          <w:rFonts w:ascii="Times New Roman" w:cs="Times New Roman" w:eastAsia="Times New Roman" w:hAnsi="Times New Roman"/>
          <w:sz w:val="18"/>
          <w:szCs w:val="18"/>
          <w:color w:val="auto"/>
        </w:rPr>
        <w:t>”) and any rules made thereunder or (b) in other circumstances which do not result in the document being a “prospectus” as defined in the Companies (Winding Up and Miscellaneous Provisions) Ordinance (Cap.32 of the Laws of Hong Kong) (the “</w:t>
      </w:r>
      <w:r>
        <w:rPr>
          <w:rFonts w:ascii="Times New Roman" w:cs="Times New Roman" w:eastAsia="Times New Roman" w:hAnsi="Times New Roman"/>
          <w:sz w:val="18"/>
          <w:szCs w:val="18"/>
          <w:i w:val="1"/>
          <w:iCs w:val="1"/>
          <w:color w:val="auto"/>
        </w:rPr>
        <w:t>CO</w:t>
      </w:r>
      <w:r>
        <w:rPr>
          <w:rFonts w:ascii="Times New Roman" w:cs="Times New Roman" w:eastAsia="Times New Roman" w:hAnsi="Times New Roman"/>
          <w:sz w:val="18"/>
          <w:szCs w:val="18"/>
          <w:color w:val="auto"/>
        </w:rPr>
        <w:t>”) or which do not constitute an offer to the public within the meaning of the CO. No advertisement, invitation or document relating to the Series M senior notes may be issued or may be in the possession of any person for the purpose of issue (in each case whether in Hong Kong or elsewhere), which is directed at, or the contents of which are likely to be accessed or read by, the public of Hong Kong (except if permitted to do so under the securities laws of Hong Kong) other than with respect to the Series M senior notes which are or are intended to be disposed of only to persons outside Hong Kong or only to “professional investors” as defined in the SFO and any rules made thereunder.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registered as a prospectus with the Monetary Authority of Singapore. Accordingly, this prospectus supplement, the accompanying prospectus and any other document or material in connection with the offer or sale, or invitation for subscription or purchase, of the Series M senior notes may not be circulated or distributed, nor may the Series M senior notes be offered or sold, or be made the subject of an invitation for subscription or purchase, whether directly or indirectly, to persons in Singapore other than: (i) to an institutional investor (as defined in Section 4A of the Securities and Futures Act (Chapter 289) of Singapore, as modified or amended from time to time (the “</w:t>
      </w:r>
      <w:r>
        <w:rPr>
          <w:rFonts w:ascii="Times New Roman" w:cs="Times New Roman" w:eastAsia="Times New Roman" w:hAnsi="Times New Roman"/>
          <w:sz w:val="18"/>
          <w:szCs w:val="18"/>
          <w:i w:val="1"/>
          <w:iCs w:val="1"/>
          <w:color w:val="auto"/>
        </w:rPr>
        <w:t>SFA</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i w:val="1"/>
          <w:iCs w:val="1"/>
          <w:color w:val="auto"/>
        </w:rPr>
        <w:t>Institutional Investor</w:t>
      </w:r>
      <w:r>
        <w:rPr>
          <w:rFonts w:ascii="Times New Roman" w:cs="Times New Roman" w:eastAsia="Times New Roman" w:hAnsi="Times New Roman"/>
          <w:sz w:val="18"/>
          <w:szCs w:val="18"/>
          <w:color w:val="auto"/>
        </w:rPr>
        <w:t>”) pursuant to Section 274 of the SFA; (ii) to a relevant person (as defined in Section 275(2) of the SFA, a “</w:t>
      </w:r>
      <w:r>
        <w:rPr>
          <w:rFonts w:ascii="Times New Roman" w:cs="Times New Roman" w:eastAsia="Times New Roman" w:hAnsi="Times New Roman"/>
          <w:sz w:val="18"/>
          <w:szCs w:val="18"/>
          <w:i w:val="1"/>
          <w:i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pursuant to Section 275(1) of the SFA, or any person pursuant to Section 275(1A) of the SFA, and in accordance with the conditions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275 of the SFA; or (iii) otherwise pursuant to, and in accordance with, the conditions of, any other applicable provision of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a condition of the offer that where the Series M senior notes are subscribed for or acquired pursuant to an offer made in reliance on Section 275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SFA by a Relevant Person which is:</w:t>
      </w:r>
    </w:p>
    <w:p>
      <w:pPr>
        <w:spacing w:after="0" w:line="151" w:lineRule="exact"/>
        <w:rPr>
          <w:sz w:val="20"/>
          <w:szCs w:val="20"/>
          <w:color w:val="auto"/>
        </w:rPr>
      </w:pPr>
    </w:p>
    <w:p>
      <w:pPr>
        <w:ind w:left="660" w:hanging="328"/>
        <w:spacing w:after="0" w:line="284" w:lineRule="auto"/>
        <w:tabs>
          <w:tab w:leader="none" w:pos="6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an “</w:t>
      </w:r>
      <w:r>
        <w:rPr>
          <w:rFonts w:ascii="Times New Roman" w:cs="Times New Roman" w:eastAsia="Times New Roman" w:hAnsi="Times New Roman"/>
          <w:sz w:val="18"/>
          <w:szCs w:val="18"/>
          <w:i w:val="1"/>
          <w:iCs w:val="1"/>
          <w:color w:val="auto"/>
        </w:rPr>
        <w:t>Accredited Investor</w:t>
      </w:r>
      <w:r>
        <w:rPr>
          <w:rFonts w:ascii="Times New Roman" w:cs="Times New Roman" w:eastAsia="Times New Roman" w:hAnsi="Times New Roman"/>
          <w:sz w:val="18"/>
          <w:szCs w:val="18"/>
          <w:color w:val="auto"/>
        </w:rPr>
        <w:t>”)), the sole business of which is to hold investments and the entire share capital of which is owned by one or more individuals, each of whom is an Accredited Investor; or</w:t>
      </w:r>
    </w:p>
    <w:p>
      <w:pPr>
        <w:spacing w:after="0" w:line="106"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the sole purpose of which is to hold investments and each beneficiary of the trust is an individual who is an Accredited Investor,</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securities or securities-based derivatives contracts (each as defined in Section 2(1) of the SFA) of that corporation or the beneficiaries’ rights and interest (howsoever described) in that trust, shall not be transferred within six months after that corporation or that trust has subscribed for or acquired the Series M senior notes except:</w:t>
      </w:r>
    </w:p>
    <w:p>
      <w:pPr>
        <w:spacing w:after="0" w:line="122" w:lineRule="exact"/>
        <w:rPr>
          <w:sz w:val="20"/>
          <w:szCs w:val="20"/>
          <w:color w:val="auto"/>
        </w:rPr>
      </w:pPr>
    </w:p>
    <w:p>
      <w:pPr>
        <w:ind w:left="660" w:right="120" w:hanging="328"/>
        <w:spacing w:after="0" w:line="282"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an Accredited Investor, a Relevant Person, or which arises from an offer referred to in Section 275(1A) of the SFA (in the case of that corporation) or Section 276(4)(i)(B) of the SFA (in the case of that trust);</w:t>
      </w:r>
    </w:p>
    <w:p>
      <w:pPr>
        <w:spacing w:after="0" w:line="10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71"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10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Singapore SFA Product Classification</w:t>
      </w:r>
      <w:r>
        <w:rPr>
          <w:rFonts w:ascii="Times New Roman" w:cs="Times New Roman" w:eastAsia="Times New Roman" w:hAnsi="Times New Roman"/>
          <w:sz w:val="18"/>
          <w:szCs w:val="18"/>
          <w:color w:val="auto"/>
        </w:rPr>
        <w:t>—In connection with Section 309B of the SFA and the CMP Regulations 2018, unless otherwise specified before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of Series M senior notes, we have determined, and hereby notify all relevant persons (as defined in Section 309A(1) of the SFA) that the Series M senior notes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Latham &amp; Watkins LLP, Washington, District of Columbia will issue an opinion with respect to the validity of the Series M senior notes offered by this prospectus supplement and the accompanying prospectus for us. Certain legal matters relating to this offering will be passed on for the underwriters by Skadden, Arps, Slate, Meagher &amp; Flom LLP, New York, New York.</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(i) consolidated financial statements of Host Hotels &amp; Resorts, Inc. as of December 31, 2024 and 2023, and for each of the years in the three year period ended December 31, 2024, and management’s assessment of the effectiveness of internal control over financial reporting as of December 31, 2024, and (ii) consolidated financial statements of Host Hotels &amp; Resorts, L.P. as of December 31, 2024 and 2023, and for each of the years in the three year period ended December 31, 2024, have been incorporated by reference herein in reliance upon the reports of KPMG LLP, independent registered public accounting firm, incorporated by reference herein, and upon the authority of said firm as experts in accounting and auditing.</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prior to the termination of this offering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 We are not, however, incorporating by reference any documents or portions thereof, whether specifically listed below or filed in the future, that are not deemed “filed” with the SEC. We incorporate by reference the documents listed below and any filings made by us with the SEC pursuant to Section 13(a), 13(c), 14, or 15(d) of the Exchange Act after the date of this prospectus supplement and prior to the termination of this offering (in each case, other than information in such documents that is deemed not to be filed):</w:t>
      </w:r>
    </w:p>
    <w:p>
      <w:pPr>
        <w:spacing w:after="0" w:line="119" w:lineRule="exact"/>
        <w:rPr>
          <w:sz w:val="20"/>
          <w:szCs w:val="20"/>
          <w:color w:val="auto"/>
        </w:rPr>
      </w:pPr>
    </w:p>
    <w:p>
      <w:pPr>
        <w:ind w:left="660" w:hanging="328"/>
        <w:spacing w:after="0" w:line="266" w:lineRule="auto"/>
        <w:tabs>
          <w:tab w:leader="none" w:pos="655" w:val="left"/>
        </w:tabs>
        <w:numPr>
          <w:ilvl w:val="0"/>
          <w:numId w:val="3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Combined Annual Report of Host Inc. and Host L.P. on Form 10-K for the fiscal year ended December 31, 2024, filed on </w:t>
      </w:r>
      <w:hyperlink r:id="rId16">
        <w:r>
          <w:rPr>
            <w:rFonts w:ascii="Times New Roman" w:cs="Times New Roman" w:eastAsia="Times New Roman" w:hAnsi="Times New Roman"/>
            <w:sz w:val="18"/>
            <w:szCs w:val="18"/>
            <w:u w:val="single" w:color="auto"/>
            <w:color w:val="0000FF"/>
          </w:rPr>
          <w:t>February 26, 2025</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color w:val="auto"/>
          </w:rPr>
          <w:t xml:space="preserve">(including information specifically incorporated by reference therein from Host Inc.’s Proxy Statement for its 2025 Annual Meeting, filed on </w:t>
        </w:r>
        <w:r>
          <w:rPr>
            <w:rFonts w:ascii="Times New Roman" w:cs="Times New Roman" w:eastAsia="Times New Roman" w:hAnsi="Times New Roman"/>
            <w:sz w:val="18"/>
            <w:szCs w:val="18"/>
            <w:u w:val="single" w:color="auto"/>
            <w:color w:val="0000FF"/>
          </w:rPr>
          <w:t>April</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FF"/>
          </w:rPr>
          <w:t>3, 2025</w:t>
        </w:r>
        <w:r>
          <w:rPr>
            <w:rFonts w:ascii="Times New Roman" w:cs="Times New Roman" w:eastAsia="Times New Roman" w:hAnsi="Times New Roman"/>
            <w:sz w:val="18"/>
            <w:szCs w:val="18"/>
            <w:color w:val="000000"/>
          </w:rPr>
          <w:t>); and</w:t>
        </w:r>
      </w:hyperlink>
    </w:p>
    <w:p>
      <w:pPr>
        <w:spacing w:after="0" w:line="121" w:lineRule="exact"/>
        <w:rPr>
          <w:rFonts w:ascii="Times New Roman" w:cs="Times New Roman" w:eastAsia="Times New Roman" w:hAnsi="Times New Roman"/>
          <w:sz w:val="18"/>
          <w:szCs w:val="18"/>
          <w:color w:val="0000FF"/>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Combined Quarterly Report of Host Inc. and Host L.P. on Form 10-Q for the quarter ended March 31, 2025, filed on </w:t>
      </w:r>
      <w:hyperlink r:id="rId18">
        <w:r>
          <w:rPr>
            <w:rFonts w:ascii="Times New Roman" w:cs="Times New Roman" w:eastAsia="Times New Roman" w:hAnsi="Times New Roman"/>
            <w:sz w:val="18"/>
            <w:szCs w:val="18"/>
            <w:u w:val="single" w:color="auto"/>
            <w:color w:val="0000FF"/>
          </w:rPr>
          <w:t>May 2, 2025</w:t>
        </w:r>
      </w:hyperlink>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accompanying prospectus is part of a registration statement on Form S-3 we have filed with the SEC under the Securities Act. Neither this prospectus supplement nor the accompanying prospectus contains all of the information in the registration statement. We have omitted certain parts of the registration statement, as permitted by the rules and regulations of the SEC. You may inspect and copy the registration statement, including exhibits, at the SEC’s Public Reference Room or on our website at http://www.hosthotels.com. Information found on, or otherwise accessible through, our website is not incorporated into and should not be deemed a part of this prospectus supplement, the accompanying prospectus or any other report or filing filed with the SEC. Our statements in this prospectus supplement concerning the contents of any contract or other document are not necessarily complete. You should refer to the copy of each contract or other document we have filed as an exhibit to the registration statement for complete information.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4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HOST HOTELS &amp; RESORTS, INC.</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4747 BETHESDA AVE, SUITE 1300</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TELEPHONE: (240) 744-1000</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supplement or the accompanying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60"/>
          </w:cols>
          <w:pgMar w:left="320" w:top="1440" w:right="419" w:bottom="1440" w:gutter="0" w:footer="0" w:header="0"/>
        </w:sectPr>
      </w:pPr>
    </w:p>
    <w:bookmarkStart w:id="47" w:name="page48"/>
    <w:bookmarkEnd w:id="4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19685</wp:posOffset>
            </wp:positionV>
            <wp:extent cx="2048510" cy="1474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4851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Host Hotels &amp; Resorts, L.P.</w:t>
      </w:r>
    </w:p>
    <w:p>
      <w:pPr>
        <w:spacing w:after="0" w:line="22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$2,000,000,000</w:t>
      </w:r>
    </w:p>
    <w:p>
      <w:pPr>
        <w:spacing w:after="0" w:line="24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5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We may offer and sell up to $2,000,000,000 in the aggregate of the securities identified above from time to time in one or more offerings. We will determine when we sell securities, the amounts of securities we will sell and the prices and other terms on which we will sell them. This prospectus provides you with a general description of the securities.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29" w:lineRule="exact"/>
        <w:rPr>
          <w:sz w:val="20"/>
          <w:szCs w:val="20"/>
          <w:color w:val="auto"/>
        </w:rPr>
      </w:pPr>
    </w:p>
    <w:p>
      <w:pPr>
        <w:jc w:val="both"/>
        <w:ind w:right="56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SEE THE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ON PAGE </w:t>
      </w:r>
      <w:r>
        <w:rPr>
          <w:rFonts w:ascii="Times New Roman" w:cs="Times New Roman" w:eastAsia="Times New Roman" w:hAnsi="Times New Roman"/>
          <w:sz w:val="18"/>
          <w:szCs w:val="18"/>
          <w:b w:val="1"/>
          <w:bCs w:val="1"/>
          <w:u w:val="single" w:color="auto"/>
          <w:color w:val="0000FF"/>
        </w:rPr>
        <w:t>4</w:t>
      </w:r>
      <w:r>
        <w:rPr>
          <w:rFonts w:ascii="Times New Roman" w:cs="Times New Roman" w:eastAsia="Times New Roman" w:hAnsi="Times New Roman"/>
          <w:sz w:val="18"/>
          <w:szCs w:val="18"/>
          <w:b w:val="1"/>
          <w:bCs w:val="1"/>
          <w:color w:val="auto"/>
        </w:rPr>
        <w:t xml:space="preserve"> OF THIS PROSPECTUS AND ANY SIMILAR SECTION CONTAINED IN THE APPLICABLE PROSPECTUS SUPPLEMENT CONCERNING FACTORS YOU SHOULD CONSIDER BEFORE INVESTING IN OUR SECURITIES.</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17, 2024.</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6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20" w:type="dxa"/>
            <w:vAlign w:val="bottom"/>
          </w:tcPr>
          <w:p>
            <w:pPr>
              <w:spacing w:after="0"/>
              <w:rPr>
                <w:sz w:val="20"/>
                <w:szCs w:val="20"/>
                <w:color w:val="auto"/>
              </w:rPr>
            </w:pPr>
          </w:p>
        </w:tc>
      </w:tr>
      <w:tr>
        <w:trPr>
          <w:trHeight w:val="378"/>
        </w:trPr>
        <w:tc>
          <w:tcPr>
            <w:tcW w:w="22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640" w:type="dxa"/>
            <w:vAlign w:val="bottom"/>
            <w:gridSpan w:val="3"/>
          </w:tcPr>
          <w:p>
            <w:pPr>
              <w:spacing w:after="0"/>
              <w:rPr>
                <w:sz w:val="24"/>
                <w:szCs w:val="24"/>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9"/>
        </w:trPr>
        <w:tc>
          <w:tcPr>
            <w:tcW w:w="6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 INCORPORATION BY REFERENCE</w:t>
            </w:r>
          </w:p>
        </w:tc>
        <w:tc>
          <w:tcPr>
            <w:tcW w:w="214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10"/>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THE COMPANY</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9"/>
        </w:trPr>
        <w:tc>
          <w:tcPr>
            <w:tcW w:w="12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tcBorders>
          </w:tcPr>
          <w:p>
            <w:pPr>
              <w:spacing w:after="0"/>
              <w:rPr>
                <w:sz w:val="18"/>
                <w:szCs w:val="18"/>
                <w:color w:val="auto"/>
              </w:rPr>
            </w:pPr>
          </w:p>
        </w:tc>
        <w:tc>
          <w:tcPr>
            <w:tcW w:w="7600" w:type="dxa"/>
            <w:vAlign w:val="bottom"/>
            <w:gridSpan w:val="8"/>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DESCRIPTION OF DEBT SECURITIES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09"/>
        </w:trPr>
        <w:tc>
          <w:tcPr>
            <w:tcW w:w="3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GLOBAL SECURITIES</w:t>
            </w:r>
          </w:p>
        </w:tc>
        <w:tc>
          <w:tcPr>
            <w:tcW w:w="5860" w:type="dxa"/>
            <w:vAlign w:val="bottom"/>
            <w:gridSpan w:val="2"/>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15</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2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6820" w:type="dxa"/>
            <w:vAlign w:val="bottom"/>
            <w:gridSpan w:val="4"/>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209"/>
        </w:trPr>
        <w:tc>
          <w:tcPr>
            <w:tcW w:w="88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r>
        <w:trPr>
          <w:trHeight w:val="209"/>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3"/>
          </w:tcPr>
          <w:p>
            <w:pPr>
              <w:spacing w:after="0"/>
              <w:rPr>
                <w:sz w:val="18"/>
                <w:szCs w:val="18"/>
                <w:color w:val="auto"/>
              </w:rPr>
            </w:pPr>
          </w:p>
        </w:tc>
        <w:tc>
          <w:tcPr>
            <w:tcW w:w="7420" w:type="dxa"/>
            <w:vAlign w:val="bottom"/>
            <w:gridSpan w:val="7"/>
          </w:tcPr>
          <w:p>
            <w:pPr>
              <w:spacing w:after="0"/>
              <w:rPr>
                <w:sz w:val="18"/>
                <w:szCs w:val="18"/>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00"/>
          </w:cols>
          <w:pgMar w:left="340" w:top="1440" w:right="359" w:bottom="1440" w:gutter="0" w:footer="0" w:header="0"/>
        </w:sectPr>
      </w:pPr>
    </w:p>
    <w:bookmarkStart w:id="49" w:name="page50"/>
    <w:bookmarkEnd w:id="49"/>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(the “Commission” or “SEC”), using a “shelf” registration process. By using a shelf registration statement, we may sell securities from time to time and in one or more offerings up to a total dollar amount of $2,000,000,000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40"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4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references to “Host Inc.” mean Host Hotels &amp; Resorts, Inc. and references to “Host L.P.” mean Host Hotels &amp; Resorts, L.P. in cases where it is important to distinguish between Host Inc. and Host L.P. We use the terms “we,” “our” or “the company” to refer to Host Inc. and Host L.P. together, along with Host L.P.’s consolidated subsidiaries, unless the context indicates otherwise. Host Inc. and Host L.P. file combined periodic reports with the SEC, certain of which are incorporated by reference herein. When we refer to “you,” we mean the potential holders of the applicable series of securities.</w:t>
      </w:r>
    </w:p>
    <w:p>
      <w:pPr>
        <w:spacing w:after="0" w:line="129"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contain registered trademarks, service marks and brand names that are the exclusive property of their respective owners, which are companies other than us, including 1 Hotels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Alila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Andaz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Fairmont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Four Seasons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Grand Hyatt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JW Marriott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Ritz-Carlton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St. Regis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Don Cesar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Luxury Collection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Autograph Collection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Curio – A Collection by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Embassy Suites by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Hilton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Hyatt Regency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Marriott Marquis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Sheraton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Swissôtel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Tribute Portfolio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Westin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None of the owners of these trademarks, service marks or brand names, their affiliates or any of their respective officers, directors, agents or employees, is an issuer or underwriter of the debt securities being offered hereby. In addition, none of such persons has or will have any responsibility or liability for any information contained in this prospectus or the documents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file reports and other information with the SEC. The SEC maintains a website that contains reports and information statements and other information about issuers, such as us, who file electronically with the SEC. The address of that website is http://www.sec.gov.</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Our website address is http://www.hosthotels.com. The information on our website, however, is not, and should not be deemed to be, a part of this prospectus.</w:t>
      </w:r>
    </w:p>
    <w:p>
      <w:pPr>
        <w:spacing w:after="0" w:line="10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108" w:lineRule="exact"/>
        <w:rPr>
          <w:sz w:val="20"/>
          <w:szCs w:val="20"/>
          <w:color w:val="auto"/>
        </w:rPr>
      </w:pPr>
    </w:p>
    <w:p>
      <w:pPr>
        <w:ind w:left="660" w:right="50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Combined Annual Report of Host Inc. and Host L.P. on </w:t>
      </w:r>
      <w:hyperlink r:id="rId20">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28, 2024.</w:t>
      </w:r>
    </w:p>
    <w:p>
      <w:pPr>
        <w:spacing w:after="0" w:line="107"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the Combined Annual Report of Host Inc. and Host L.P. on Form 10-K from the Definitive Proxy Statement of Host Inc. on </w:t>
      </w:r>
      <w:hyperlink r:id="rId21">
        <w:r>
          <w:rPr>
            <w:rFonts w:ascii="Times New Roman" w:cs="Times New Roman" w:eastAsia="Times New Roman" w:hAnsi="Times New Roman"/>
            <w:sz w:val="18"/>
            <w:szCs w:val="18"/>
            <w:u w:val="single" w:color="auto"/>
            <w:color w:val="0000FF"/>
          </w:rPr>
          <w:t>Schedule 14A</w:t>
        </w:r>
      </w:hyperlink>
      <w:r>
        <w:rPr>
          <w:rFonts w:ascii="Times New Roman" w:cs="Times New Roman" w:eastAsia="Times New Roman" w:hAnsi="Times New Roman"/>
          <w:sz w:val="18"/>
          <w:szCs w:val="18"/>
          <w:color w:val="auto"/>
        </w:rPr>
        <w:t>, filed with the SEC on April 5, 2024.</w:t>
      </w:r>
    </w:p>
    <w:p>
      <w:pPr>
        <w:spacing w:after="0" w:line="108"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Securities Exchange Act of 1934, as amended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26" w:lineRule="exact"/>
        <w:rPr>
          <w:rFonts w:ascii="Times New Roman" w:cs="Times New Roman" w:eastAsia="Times New Roman" w:hAnsi="Times New Roman"/>
          <w:sz w:val="18"/>
          <w:szCs w:val="18"/>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75"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HOST HOTELS &amp; RESORTS, INC.</w:t>
      </w:r>
    </w:p>
    <w:p>
      <w:pPr>
        <w:spacing w:after="0" w:line="2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4747 BETHESDA AVE, SUITE 1300</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BETHESDA, MARYLAND, 20814</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TELEPHONE: (240) 744-1000</w:t>
      </w:r>
    </w:p>
    <w:p>
      <w:pPr>
        <w:spacing w:after="0" w:line="45" w:lineRule="exact"/>
        <w:rPr>
          <w:rFonts w:ascii="Times New Roman" w:cs="Times New Roman" w:eastAsia="Times New Roman" w:hAnsi="Times New Roman"/>
          <w:sz w:val="18"/>
          <w:szCs w:val="18"/>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Host Hotels &amp; Resorts, L.P. (“Host L.P.”) is a Delaware limited partnership operating through an umbrella partnership structure with Host Hotels &amp; Resorts, Inc., a Maryland corporation (“Host Inc.”), as its sole general partner. Host Inc. operates as a self-managed and self-administered real estate investment trust (“REIT”). In addition to being the sole general partner, Host Inc. holds approximately 99% of the partnership interests in Host L.P. as of March 31, 2024.</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Host Inc. is the largest publicly traded lodging REIT, with a geographically diverse portfolio of luxury and upper upscale hotels, and conducts its operations through Host L.P. Host Inc. has the exclusive and complete responsibility for Host L.P.’s day-to-day management and control. As of March 31, 2024, our consolidated lodging portfolio consists of 77 primarily luxury and upper-upscale hotels containing approximately 42,000 rooms, with substantially all located in the United States (five of the hotels are located outside of the U.S. in Brazil and Canada). In addition, we own non-controlling interests in seven domestic and one international joint ventures that focus on the lodging industry.</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address of our principal executive office is 4747 Bethesda Ave, Suite 1300, Bethesda, Maryland 20814. Our phone number is (240) 744-1000. Our Internet website address is www.hosthotels.com. The information found on, or otherwise accessible through, our website is not incorporated into, and does not form a part of, this prospectus or the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Before deciding whether to invest in our securities, you should carefully consider the risk factors incorporated by reference in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 For more information, see the section entitled “Where You Can Find More Information” in this prospectus.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seriously harmed. This could cause the trading price of our securities to decline, resulting in a loss of all or part of your investment. Please also carefully read the section entitled “Forward Looking Statements” included in our most recent Annual Report on Form 10-K and any subsequent Quarterly Reports on Form 10-Q or Current Reports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139"/>
          </w:cols>
          <w:pgMar w:left="320" w:top="1440" w:right="1440" w:bottom="1440" w:gutter="0" w:footer="0" w:header="0"/>
        </w:sectPr>
      </w:pPr>
    </w:p>
    <w:bookmarkStart w:id="54" w:name="page55"/>
    <w:bookmarkEnd w:id="5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such series in a supplement to this prospectus. We will also indicate in the supplement to what extent the general terms and provisions described in this prospectus apply to a particular series of debt securities.</w:t>
      </w:r>
    </w:p>
    <w:p>
      <w:pPr>
        <w:spacing w:after="0" w:line="12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debt securities offered under this prospectus may be our senior, senior subordinated or subordinated obligations and, unless otherwise specified in a supplement to this prospectus, the debt securities will be our direct, unsecured obligations and may be issued in one or more series.</w:t>
      </w:r>
    </w:p>
    <w:p>
      <w:pPr>
        <w:spacing w:after="0" w:line="108"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The debt securities will be issued pursuant to an indenture dated as of May 15, 2015 between us and The Bank of New York Mellon, as trustee as amended or supplemented from time to time. We have summarized select portions of the indenture below. The summary is not complete. The indenture has been previously filed and is incorporated by reference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1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used in this section only, “Host L.P.,” “we,” “our” or “us” refer to Host Hotels &amp; Resorts, L.P. and its successors, but excluding our subsidiaries, unless expressly stated or the context otherwise requires.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free writing prospectus, pricing supplement or term sheet).</w:t>
      </w:r>
    </w:p>
    <w:p>
      <w:pPr>
        <w:spacing w:after="0" w:line="12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2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debt securities of the series is payable;</w:t>
      </w:r>
    </w:p>
    <w:p>
      <w:pPr>
        <w:spacing w:after="0" w:line="171"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if any, the date or dates from which interest will accrue, if any, the date or dates on which interest will commence and be payable and any regular record date for the interest payable on any interest payment date;</w:t>
      </w:r>
    </w:p>
    <w:p>
      <w:pPr>
        <w:spacing w:after="0" w:line="125"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55" w:name="page56"/>
    <w:bookmarkEnd w:id="55"/>
    <w:p>
      <w:pPr>
        <w:spacing w:after="0" w:line="140" w:lineRule="exact"/>
        <w:rPr>
          <w:sz w:val="20"/>
          <w:szCs w:val="20"/>
          <w:color w:val="auto"/>
        </w:rPr>
      </w:pPr>
    </w:p>
    <w:p>
      <w:pPr>
        <w:ind w:left="328" w:hanging="328"/>
        <w:spacing w:after="0" w:line="266"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debt securities of the series shall be redeemed or purchased, in whole or in part, pursuant to such obligation;</w:t>
      </w:r>
    </w:p>
    <w:p>
      <w:pPr>
        <w:spacing w:after="0" w:line="121" w:lineRule="exact"/>
        <w:rPr>
          <w:rFonts w:ascii="Times New Roman" w:cs="Times New Roman" w:eastAsia="Times New Roman" w:hAnsi="Times New Roman"/>
          <w:sz w:val="18"/>
          <w:szCs w:val="18"/>
          <w:color w:val="auto"/>
        </w:rPr>
      </w:pPr>
    </w:p>
    <w:p>
      <w:pPr>
        <w:ind w:left="328" w:right="340" w:hanging="328"/>
        <w:spacing w:after="0" w:line="282"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if any, on which and the price or prices at which we will repurchase debt securities at the option of the holders of debt securities and other detailed terms and provisions of these repurchase obligations;</w:t>
      </w:r>
    </w:p>
    <w:p>
      <w:pPr>
        <w:spacing w:after="0" w:line="107" w:lineRule="exact"/>
        <w:rPr>
          <w:rFonts w:ascii="Times New Roman" w:cs="Times New Roman" w:eastAsia="Times New Roman" w:hAnsi="Times New Roman"/>
          <w:sz w:val="18"/>
          <w:szCs w:val="18"/>
          <w:color w:val="auto"/>
        </w:rPr>
      </w:pPr>
    </w:p>
    <w:p>
      <w:pPr>
        <w:ind w:left="328" w:right="80" w:hanging="328"/>
        <w:spacing w:after="0" w:line="282"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$2,000 and any integral multiple on $1,000 in excess thereof;</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71" w:lineRule="exact"/>
        <w:rPr>
          <w:rFonts w:ascii="Times New Roman" w:cs="Times New Roman" w:eastAsia="Times New Roman" w:hAnsi="Times New Roman"/>
          <w:sz w:val="18"/>
          <w:szCs w:val="18"/>
          <w:color w:val="auto"/>
        </w:rPr>
      </w:pPr>
    </w:p>
    <w:p>
      <w:pPr>
        <w:ind w:left="328" w:right="440" w:hanging="328"/>
        <w:spacing w:after="0" w:line="282"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07" w:lineRule="exact"/>
        <w:rPr>
          <w:rFonts w:ascii="Times New Roman" w:cs="Times New Roman" w:eastAsia="Times New Roman" w:hAnsi="Times New Roman"/>
          <w:sz w:val="18"/>
          <w:szCs w:val="18"/>
          <w:color w:val="auto"/>
        </w:rPr>
      </w:pPr>
    </w:p>
    <w:p>
      <w:pPr>
        <w:ind w:left="328" w:right="740" w:hanging="328"/>
        <w:spacing w:after="0" w:line="282"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07" w:lineRule="exact"/>
        <w:rPr>
          <w:rFonts w:ascii="Times New Roman" w:cs="Times New Roman" w:eastAsia="Times New Roman" w:hAnsi="Times New Roman"/>
          <w:sz w:val="18"/>
          <w:szCs w:val="18"/>
          <w:color w:val="auto"/>
        </w:rPr>
      </w:pPr>
    </w:p>
    <w:p>
      <w:pPr>
        <w:ind w:left="328" w:right="120" w:hanging="328"/>
        <w:spacing w:after="0" w:line="282"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07" w:lineRule="exact"/>
        <w:rPr>
          <w:rFonts w:ascii="Times New Roman" w:cs="Times New Roman" w:eastAsia="Times New Roman" w:hAnsi="Times New Roman"/>
          <w:sz w:val="18"/>
          <w:szCs w:val="18"/>
          <w:color w:val="auto"/>
        </w:rPr>
      </w:pPr>
    </w:p>
    <w:p>
      <w:pPr>
        <w:ind w:left="328" w:right="180" w:hanging="328"/>
        <w:spacing w:after="0" w:line="312" w:lineRule="auto"/>
        <w:tabs>
          <w:tab w:leader="none" w:pos="323"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5" w:lineRule="exact"/>
        <w:rPr>
          <w:rFonts w:ascii="Times New Roman" w:cs="Times New Roman" w:eastAsia="Times New Roman" w:hAnsi="Times New Roman"/>
          <w:sz w:val="17"/>
          <w:szCs w:val="17"/>
          <w:color w:val="auto"/>
        </w:rPr>
      </w:pPr>
    </w:p>
    <w:p>
      <w:pPr>
        <w:ind w:left="328" w:right="160" w:hanging="328"/>
        <w:spacing w:after="0" w:line="266"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71" w:lineRule="exact"/>
        <w:rPr>
          <w:rFonts w:ascii="Times New Roman" w:cs="Times New Roman" w:eastAsia="Times New Roman" w:hAnsi="Times New Roman"/>
          <w:sz w:val="18"/>
          <w:szCs w:val="18"/>
          <w:color w:val="auto"/>
        </w:rPr>
      </w:pPr>
    </w:p>
    <w:p>
      <w:pPr>
        <w:ind w:left="328" w:right="260" w:hanging="328"/>
        <w:spacing w:after="0" w:line="282"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71" w:lineRule="exact"/>
        <w:rPr>
          <w:rFonts w:ascii="Times New Roman" w:cs="Times New Roman" w:eastAsia="Times New Roman" w:hAnsi="Times New Roman"/>
          <w:sz w:val="18"/>
          <w:szCs w:val="18"/>
          <w:color w:val="auto"/>
        </w:rPr>
      </w:pPr>
    </w:p>
    <w:p>
      <w:pPr>
        <w:ind w:left="328" w:right="100" w:hanging="328"/>
        <w:spacing w:after="0" w:line="266"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 if the debt securities of such series are redeemed;</w:t>
      </w:r>
    </w:p>
    <w:p>
      <w:pPr>
        <w:spacing w:after="0" w:line="121" w:lineRule="exact"/>
        <w:rPr>
          <w:rFonts w:ascii="Times New Roman" w:cs="Times New Roman" w:eastAsia="Times New Roman" w:hAnsi="Times New Roman"/>
          <w:sz w:val="18"/>
          <w:szCs w:val="18"/>
          <w:color w:val="auto"/>
        </w:rPr>
      </w:pPr>
    </w:p>
    <w:p>
      <w:pPr>
        <w:jc w:val="both"/>
        <w:ind w:left="328" w:right="40" w:hanging="328"/>
        <w:spacing w:after="0" w:line="266"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debt securities, including with respect to covenants and events of default; and</w:t>
      </w:r>
    </w:p>
    <w:p>
      <w:pPr>
        <w:spacing w:after="0" w:line="121" w:lineRule="exact"/>
        <w:rPr>
          <w:rFonts w:ascii="Times New Roman" w:cs="Times New Roman" w:eastAsia="Times New Roman" w:hAnsi="Times New Roman"/>
          <w:sz w:val="18"/>
          <w:szCs w:val="18"/>
          <w:color w:val="auto"/>
        </w:rPr>
      </w:pPr>
    </w:p>
    <w:p>
      <w:pPr>
        <w:ind w:left="328" w:right="240" w:hanging="328"/>
        <w:spacing w:after="0" w:line="282" w:lineRule="auto"/>
        <w:tabs>
          <w:tab w:leader="none" w:pos="32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 (Section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8"/>
          </w:cols>
          <w:pgMar w:left="652" w:top="1440" w:right="359" w:bottom="1440" w:gutter="0" w:footer="0" w:header="0"/>
        </w:sectPr>
      </w:pPr>
    </w:p>
    <w:bookmarkStart w:id="56" w:name="page57"/>
    <w:bookmarkEnd w:id="56"/>
    <w:p>
      <w:pPr>
        <w:spacing w:after="0" w:line="14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2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Debt Securities and Book-Entry System</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 Please see “Global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(Article IV)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except as described below with respect to the consolidation, merger and sale of our assets,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another person, or sell, convey, transfer, lease or otherwise dispose of all or substantially all of our properties and assets, in one or more related transactions, to any person (in each case, a “successor person”) unless:</w:t>
      </w:r>
    </w:p>
    <w:p>
      <w:pPr>
        <w:spacing w:after="0" w:line="108" w:lineRule="exact"/>
        <w:rPr>
          <w:sz w:val="20"/>
          <w:szCs w:val="20"/>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limited partnership or the successor person (if other than Host L.P.) is an entity organized and validly existing under the laws of any U.S. domestic jurisdiction and expressly assumes our obligations on the debt securities and under the indenture by a supplemental indenture executed and delivered to the trustee;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171" w:lineRule="exact"/>
        <w:rPr>
          <w:sz w:val="20"/>
          <w:szCs w:val="20"/>
          <w:color w:val="auto"/>
        </w:rPr>
      </w:pPr>
    </w:p>
    <w:p>
      <w:pPr>
        <w:ind w:right="1000"/>
        <w:spacing w:after="0" w:line="438" w:lineRule="auto"/>
        <w:rPr>
          <w:sz w:val="20"/>
          <w:szCs w:val="20"/>
          <w:color w:val="auto"/>
        </w:rPr>
      </w:pPr>
      <w:r>
        <w:rPr>
          <w:rFonts w:ascii="Times New Roman" w:cs="Times New Roman" w:eastAsia="Times New Roman" w:hAnsi="Times New Roman"/>
          <w:sz w:val="18"/>
          <w:szCs w:val="18"/>
          <w:color w:val="auto"/>
        </w:rPr>
        <w:t xml:space="preserve">Notwithstanding the above, any of our subsidiaries may consolidate with, merge into or transfer all or part of its properties to us. (Section 5.1) </w:t>
      </w:r>
      <w:r>
        <w:rPr>
          <w:rFonts w:ascii="Times New Roman" w:cs="Times New Roman" w:eastAsia="Times New Roman" w:hAnsi="Times New Roman"/>
          <w:sz w:val="18"/>
          <w:szCs w:val="18"/>
          <w:b w:val="1"/>
          <w:bCs w:val="1"/>
          <w:color w:val="auto"/>
        </w:rPr>
        <w:t>Reports</w:t>
      </w:r>
    </w:p>
    <w:p>
      <w:pPr>
        <w:spacing w:after="0" w:line="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indenture provides that whether or not we are subject to the reporting requirements of Section 13 or 15(d) of the Exchange Act, we shall deliver to the Trustee and to each holder, within 15 days after we are or would have been required to file such with the Commission, annual and quarterly financial statements substantially equivalent to financial statements that would have been included in reports filed with the Commission if we were subject to the requirements of Section 13 or 15(d) of the Exchange Act, including, with respect to annual information only, a report thereon by our certified independent public accountants, as such would be required in such reports to the Commission, and, in each case, together with a management’s discussion and analysis of financial condition and results of operations which would be so required. Whether or not required by the rules and regulations of the Commission, we will file a copy of all such information and reports with the Commission for public availability and will make such information available to securities analysts and prospective investors upon request. (Section 4.2)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71" w:lineRule="exact"/>
        <w:rPr>
          <w:sz w:val="20"/>
          <w:szCs w:val="20"/>
          <w:color w:val="auto"/>
        </w:rPr>
      </w:pPr>
    </w:p>
    <w:p>
      <w:pPr>
        <w:ind w:left="660" w:right="40" w:hanging="328"/>
        <w:spacing w:after="0" w:line="266"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debt security of that series at its maturity;</w:t>
      </w:r>
    </w:p>
    <w:p>
      <w:pPr>
        <w:spacing w:after="0" w:line="171"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Host L.P. and the trustee receive written notice from the holders of not less than 25% in principal amount of the outstanding debt securities of that series as provided in the indenture;</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Host L.P.;</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 (Section 6.1)</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2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and its consequences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0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2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if any, and any interest on that debt security on or after the due dates expressed in that debt security and to institute suit for the enforcement of payment. (Section 6.8)</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deliver to each holder of the debt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59" w:name="page60"/>
    <w:bookmarkEnd w:id="5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determines in good faith that withholding notice is in the interest of the holders of those debt securities. (Section 7.5)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7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08"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to the description of debt securities or description of notes sections of any prospectus or prospectus supplement with respect to the debt securities of any series. (Section 9.1)</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amendment or waiver without the consent of the holders of each affected debt security then outstanding if that amendment will:</w:t>
      </w:r>
    </w:p>
    <w:p>
      <w:pPr>
        <w:spacing w:after="0" w:line="12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7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80"/>
          </w:cols>
          <w:pgMar w:left="320" w:top="1440" w:right="399" w:bottom="1440" w:gutter="0" w:footer="0" w:header="0"/>
        </w:sectPr>
      </w:pPr>
    </w:p>
    <w:bookmarkStart w:id="60" w:name="page61"/>
    <w:bookmarkEnd w:id="60"/>
    <w:p>
      <w:pPr>
        <w:spacing w:after="0" w:line="140"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to institute suit for the enforcement of any such payment and to waivers or amendments; or</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(Section 9.3)</w:t>
      </w:r>
    </w:p>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not yet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holders of a majority in principal amount of the outstanding debt securities of any series may rescind an acceleration and its consequences, including any related payment default that resulted from the acceleration. (Section 6.13)</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3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31"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06" w:lineRule="exact"/>
        <w:rPr>
          <w:sz w:val="20"/>
          <w:szCs w:val="20"/>
          <w:color w:val="auto"/>
        </w:rPr>
      </w:pPr>
    </w:p>
    <w:p>
      <w:pPr>
        <w:ind w:left="660" w:right="2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0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71" w:lineRule="exact"/>
        <w:rPr>
          <w:sz w:val="20"/>
          <w:szCs w:val="20"/>
          <w:color w:val="auto"/>
        </w:rPr>
      </w:pPr>
    </w:p>
    <w:p>
      <w:pPr>
        <w:jc w:val="both"/>
        <w:ind w:left="660" w:right="20" w:hanging="328"/>
        <w:spacing w:after="0" w:line="266" w:lineRule="auto"/>
        <w:tabs>
          <w:tab w:leader="none" w:pos="65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22" w:lineRule="exact"/>
        <w:rPr>
          <w:sz w:val="20"/>
          <w:szCs w:val="20"/>
          <w:color w:val="auto"/>
        </w:rPr>
      </w:pPr>
    </w:p>
    <w:p>
      <w:pPr>
        <w:ind w:left="660" w:right="60" w:hanging="328"/>
        <w:spacing w:after="0" w:line="25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Partners, Directors, Officers, Employees or Stockholders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 recourse for the payment of the principal of, premium, if any, or interest on the debt securities or for any claim based thereon or otherwise in respect thereof, and no recourse under or upon any obligation, covenant or agreement of Host L.P. or any subsidiary that becomes a guarantor of the debt securities, if applicable, in the indenture, or in the debt securities or because of the creation of any debt represented thereby, shall be had against any incorporator, partner, stockholder, officer, director, employee or controlling person of Host L.P. or any subsidiary that becomes a guarantor of the debt securities, if applicable, or of any successor person thereof, except as an obligor or guarantor of the debt securities pursuant to the indenture. Each holder, by accepting the debt securities, waives and releases all such liability. This waiver and release is part of the consideration for the issue of the debt securities. However, this waiver and release may not be effective to waive liabilities under U.S. federal securities laws, and it is the view of the SEC that such waiver is against public policy.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GAAP for Covenant Calculations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Unless amended by prospectus supplement, “GAAP” shall mean generally accepted accounting principles in the United States as in effect from time to time. Notwithstanding the foregoing, for purposes of determining compliance with any financial covenant or covenant contained herein or in any board resolution, a supplemental indenture or an officer’s certificate for any series of debt securities requiring calculations that are determined with reference to GAAP, such compliance shall be determined in accordance with GAAP as in effect on the date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(1) all computations made under the indenture (whether or not such computations specifically reference GAAP) relating to the notional amount of indebtedness or interest expense associated with such indebtedness shall be made without giving effect to any generally accepted accounting principles requiring that such indebtedness be marked to market, and the effects of the Accounting Standards Codification of the Financial Accounting Standards Board (“FASB ASC”) 825 and FASB ASC 470-20 on financial liabilities will be disregarded, (2) any generally accepted accounting principles requiring (x) any fair value adjustment that would cause any indebtedness or contracts to be marked to market, including capitalized liabilities based on the fair value of contracts, (y) the recording of convertible debt at fair value and (z) acquisition costs that were capitalized prior to the adoption of FASB ASC 805 to be expensed as incurred shall, in each case, be disregarded and (3) the determination of a Subsidiary with respect to any person shall be based in accordance with GAAP as in effect from time to time. As a result, the value of amounts used in the calculation of our covenants such as interest expense, the recorded value of debt acquired or assumed, and total assets will be different from amounts presented in our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 (Section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Waiver of Jury Trial</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indenture provides that we, the trustee, the paying agent and the registrar irrevocably waive, to the fullest extent permitted by applicable law, any and all right to trial by jury in any legal proceeding arising out of or relating to the indenture, the debt securities or the transactions contemplated thereby. (Section 10.18)</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Jurisdiction</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indenture provides that we, the trustee, the paying agent and the registrar irrevocably submit to the exclusive general jurisdiction of any New York state court sitting in the Borough of Manhattan in the City of New York or any federal court sitting in the Borough of Manhattan in the City of New York in respect of any suit, action or proceeding arising out of or relating to the indenture and the debt securities, and irrevocably accept the jurisdiction of the aforesaid courts. The indenture will further provide that we, the trustee, the paying agent and the registrar irrevocably waive, to the fullest extent permitted by applicable law, any objection to the laying of the venue of any suit, action or proceeding brought in the courts specified above and irrevocably waive and agree not to plead or claim any such suit, action or proceeding has been brought in an inconvenient forum. (Section 10.19)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(collectively, the “global securities”). The global securities will be deposited with, or on behalf of, The Depository Trust Company, New York, New York, as depositary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17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 owned subsidiary of The Depository Trust &amp; Clearing Corporation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3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35"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1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80"/>
          </w:cols>
          <w:pgMar w:left="320" w:top="1440" w:right="399" w:bottom="1440" w:gutter="0" w:footer="0" w:header="0"/>
        </w:sectPr>
      </w:pPr>
    </w:p>
    <w:bookmarkStart w:id="64" w:name="page65"/>
    <w:bookmarkEnd w:id="64"/>
    <w:p>
      <w:pPr>
        <w:spacing w:after="0" w:line="14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respect of the securities and the indenture may be delivered to us and where certificated securities may be surrendered for payment, registration of transfer or exchange.</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0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2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3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3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08" w:lineRule="exact"/>
        <w:rPr>
          <w:sz w:val="20"/>
          <w:szCs w:val="20"/>
          <w:color w:val="auto"/>
        </w:rPr>
      </w:pPr>
    </w:p>
    <w:p>
      <w:pPr>
        <w:ind w:left="660" w:right="160" w:hanging="328"/>
        <w:spacing w:after="0" w:line="266"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within 90 days of the notification to us or of our becoming aware of DTC’s ceasing to be so registered, as the case may be;</w:t>
      </w:r>
    </w:p>
    <w:p>
      <w:pPr>
        <w:spacing w:after="0" w:line="171"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17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3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2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2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3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ind w:right="100"/>
        <w:spacing w:after="0" w:line="438" w:lineRule="auto"/>
        <w:rPr>
          <w:sz w:val="20"/>
          <w:szCs w:val="20"/>
          <w:color w:val="auto"/>
        </w:rPr>
      </w:pPr>
      <w:r>
        <w:rPr>
          <w:rFonts w:ascii="Times New Roman" w:cs="Times New Roman" w:eastAsia="Times New Roman" w:hAnsi="Times New Roman"/>
          <w:sz w:val="18"/>
          <w:szCs w:val="18"/>
          <w:color w:val="auto"/>
        </w:rPr>
        <w:t xml:space="preserve">available in the relevant Euroclear or Clearstream cash account only as of the business day for Euroclear or Clearstream following DTC’s settlement date. </w:t>
      </w:r>
      <w:r>
        <w:rPr>
          <w:rFonts w:ascii="Times New Roman" w:cs="Times New Roman" w:eastAsia="Times New Roman" w:hAnsi="Times New Roman"/>
          <w:sz w:val="18"/>
          <w:szCs w:val="18"/>
          <w:b w:val="1"/>
          <w:bCs w:val="1"/>
          <w:i w:val="1"/>
          <w:iCs w:val="1"/>
          <w:color w:val="auto"/>
        </w:rPr>
        <w:t>Other</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1440" w:right="399" w:bottom="1440" w:gutter="0" w:footer="0" w:header="0"/>
        </w:sectPr>
      </w:pPr>
    </w:p>
    <w:bookmarkStart w:id="67" w:name="page68"/>
    <w:bookmarkEnd w:id="6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122"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3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maintain the market price of the securities at a level above that which might otherwise prevail in the open market. These transactions may be discontinued at any time.</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17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20" w:top="1440" w:right="419" w:bottom="1440" w:gutter="0" w:footer="0" w:header="0"/>
        </w:sectPr>
      </w:pPr>
    </w:p>
    <w:bookmarkStart w:id="69" w:name="page70"/>
    <w:bookmarkEnd w:id="69"/>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Latham &amp; Watkins LLP will pass upon certain legal matters relating to the issuance and sale of the securities offered hereby on behalf of Host Hotels &amp; Resorts, L.P. Additional legal matters may be passed upon for us or any underwriters, dealers or agents, by counsel that we will name in the applicable prospectus supplement.</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Host Hotels &amp; Resorts, L.P. as of December 31, 2023 and 2022, and for each of the years in the three-year period ended December 31, 2023, have been incorporated by reference herein and in the registration statement in reliance upon the report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1440" w:right="459" w:bottom="1440" w:gutter="0" w:footer="0" w:header="0"/>
        </w:sectPr>
      </w:pPr>
    </w:p>
    <w:bookmarkStart w:id="70" w:name="page71"/>
    <w:bookmarkEnd w:id="70"/>
    <w:p>
      <w:pPr>
        <w:spacing w:after="0" w:line="1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139065</wp:posOffset>
            </wp:positionV>
            <wp:extent cx="977265" cy="7029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72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Host Hotels &amp; Resorts, L.P.</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5.700% Series M Senior Notes due 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26670</wp:posOffset>
            </wp:positionV>
            <wp:extent cx="1517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31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2804160</wp:posOffset>
            </wp:positionH>
            <wp:positionV relativeFrom="paragraph">
              <wp:posOffset>125730</wp:posOffset>
            </wp:positionV>
            <wp:extent cx="1517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5180" w:type="dxa"/>
            <w:vAlign w:val="bottom"/>
            <w:gridSpan w:val="2"/>
          </w:tcPr>
          <w:p>
            <w:pPr>
              <w:jc w:val="center"/>
              <w:ind w:right="530"/>
              <w:spacing w:after="0"/>
              <w:rPr>
                <w:sz w:val="20"/>
                <w:szCs w:val="20"/>
                <w:color w:val="auto"/>
              </w:rPr>
            </w:pPr>
            <w:r>
              <w:rPr>
                <w:rFonts w:ascii="Times New Roman" w:cs="Times New Roman" w:eastAsia="Times New Roman" w:hAnsi="Times New Roman"/>
                <w:sz w:val="18"/>
                <w:szCs w:val="18"/>
                <w:b w:val="1"/>
                <w:bCs w:val="1"/>
                <w:i w:val="1"/>
                <w:iCs w:val="1"/>
                <w:color w:val="auto"/>
                <w:w w:val="99"/>
              </w:rPr>
              <w:t>Joint Book-Running Managers</w:t>
            </w:r>
          </w:p>
        </w:tc>
        <w:tc>
          <w:tcPr>
            <w:tcW w:w="2700" w:type="dxa"/>
            <w:vAlign w:val="bottom"/>
          </w:tcPr>
          <w:p>
            <w:pPr>
              <w:spacing w:after="0"/>
              <w:rPr>
                <w:sz w:val="20"/>
                <w:szCs w:val="20"/>
                <w:color w:val="auto"/>
              </w:rPr>
            </w:pPr>
          </w:p>
        </w:tc>
      </w:tr>
      <w:tr>
        <w:trPr>
          <w:trHeight w:val="521"/>
        </w:trPr>
        <w:tc>
          <w:tcPr>
            <w:tcW w:w="332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Morgan Stanley</w:t>
            </w:r>
          </w:p>
        </w:tc>
        <w:tc>
          <w:tcPr>
            <w:tcW w:w="5180" w:type="dxa"/>
            <w:vAlign w:val="bottom"/>
            <w:gridSpan w:val="2"/>
          </w:tcPr>
          <w:p>
            <w:pPr>
              <w:jc w:val="center"/>
              <w:ind w:right="570"/>
              <w:spacing w:after="0"/>
              <w:rPr>
                <w:sz w:val="20"/>
                <w:szCs w:val="20"/>
                <w:color w:val="auto"/>
              </w:rPr>
            </w:pPr>
            <w:r>
              <w:rPr>
                <w:rFonts w:ascii="Times New Roman" w:cs="Times New Roman" w:eastAsia="Times New Roman" w:hAnsi="Times New Roman"/>
                <w:sz w:val="25"/>
                <w:szCs w:val="25"/>
                <w:b w:val="1"/>
                <w:bCs w:val="1"/>
                <w:color w:val="auto"/>
              </w:rPr>
              <w:t>BofA Securities</w:t>
            </w:r>
          </w:p>
        </w:tc>
        <w:tc>
          <w:tcPr>
            <w:tcW w:w="2700" w:type="dxa"/>
            <w:vAlign w:val="bottom"/>
          </w:tcPr>
          <w:p>
            <w:pPr>
              <w:jc w:val="right"/>
              <w:spacing w:after="0"/>
              <w:rPr>
                <w:sz w:val="20"/>
                <w:szCs w:val="20"/>
                <w:color w:val="auto"/>
              </w:rPr>
            </w:pPr>
            <w:r>
              <w:rPr>
                <w:rFonts w:ascii="Times New Roman" w:cs="Times New Roman" w:eastAsia="Times New Roman" w:hAnsi="Times New Roman"/>
                <w:sz w:val="25"/>
                <w:szCs w:val="25"/>
                <w:b w:val="1"/>
                <w:bCs w:val="1"/>
                <w:color w:val="auto"/>
              </w:rPr>
              <w:t>J.P. Morgan</w:t>
            </w:r>
          </w:p>
        </w:tc>
      </w:tr>
      <w:tr>
        <w:trPr>
          <w:trHeight w:val="584"/>
        </w:trPr>
        <w:tc>
          <w:tcPr>
            <w:tcW w:w="332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Wells Fargo Securities</w:t>
            </w:r>
          </w:p>
        </w:tc>
        <w:tc>
          <w:tcPr>
            <w:tcW w:w="5180" w:type="dxa"/>
            <w:vAlign w:val="bottom"/>
            <w:gridSpan w:val="2"/>
          </w:tcPr>
          <w:p>
            <w:pPr>
              <w:jc w:val="center"/>
              <w:ind w:right="570"/>
              <w:spacing w:after="0"/>
              <w:rPr>
                <w:sz w:val="20"/>
                <w:szCs w:val="20"/>
                <w:color w:val="auto"/>
              </w:rPr>
            </w:pPr>
            <w:r>
              <w:rPr>
                <w:rFonts w:ascii="Times New Roman" w:cs="Times New Roman" w:eastAsia="Times New Roman" w:hAnsi="Times New Roman"/>
                <w:sz w:val="22"/>
                <w:szCs w:val="22"/>
                <w:b w:val="1"/>
                <w:bCs w:val="1"/>
                <w:color w:val="auto"/>
                <w:w w:val="98"/>
              </w:rPr>
              <w:t>Goldman Sachs &amp; Co. LLC</w:t>
            </w:r>
          </w:p>
        </w:tc>
        <w:tc>
          <w:tcPr>
            <w:tcW w:w="270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Truist Securities</w:t>
            </w:r>
          </w:p>
        </w:tc>
      </w:tr>
      <w:tr>
        <w:trPr>
          <w:trHeight w:val="488"/>
        </w:trPr>
        <w:tc>
          <w:tcPr>
            <w:tcW w:w="3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700" w:type="dxa"/>
            <w:vAlign w:val="bottom"/>
          </w:tcPr>
          <w:p>
            <w:pPr>
              <w:jc w:val="center"/>
              <w:ind w:right="2010"/>
              <w:spacing w:after="0"/>
              <w:rPr>
                <w:sz w:val="20"/>
                <w:szCs w:val="20"/>
                <w:color w:val="auto"/>
              </w:rPr>
            </w:pPr>
            <w:r>
              <w:rPr>
                <w:rFonts w:ascii="Times New Roman" w:cs="Times New Roman" w:eastAsia="Times New Roman" w:hAnsi="Times New Roman"/>
                <w:sz w:val="18"/>
                <w:szCs w:val="18"/>
                <w:i w:val="1"/>
                <w:iCs w:val="1"/>
                <w:color w:val="auto"/>
                <w:w w:val="99"/>
              </w:rPr>
              <w:t>Co-Managers</w:t>
            </w:r>
          </w:p>
        </w:tc>
        <w:tc>
          <w:tcPr>
            <w:tcW w:w="2700" w:type="dxa"/>
            <w:vAlign w:val="bottom"/>
          </w:tcPr>
          <w:p>
            <w:pPr>
              <w:spacing w:after="0"/>
              <w:rPr>
                <w:sz w:val="24"/>
                <w:szCs w:val="24"/>
                <w:color w:val="auto"/>
              </w:rPr>
            </w:pP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PNC Capital Markets LLC</w:t>
            </w:r>
          </w:p>
        </w:tc>
        <w:tc>
          <w:tcPr>
            <w:tcW w:w="14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Scotiabank</w:t>
            </w:r>
          </w:p>
        </w:tc>
        <w:tc>
          <w:tcPr>
            <w:tcW w:w="37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SMBC Nikko</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TD Securities</w:t>
            </w:r>
          </w:p>
        </w:tc>
      </w:tr>
      <w:tr>
        <w:trPr>
          <w:trHeight w:val="554"/>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BNY Mellon Capital Markets, LLC</w:t>
            </w:r>
          </w:p>
        </w:tc>
        <w:tc>
          <w:tcPr>
            <w:tcW w:w="1480" w:type="dxa"/>
            <w:vAlign w:val="bottom"/>
          </w:tcPr>
          <w:p>
            <w:pPr>
              <w:spacing w:after="0"/>
              <w:rPr>
                <w:sz w:val="24"/>
                <w:szCs w:val="24"/>
                <w:color w:val="auto"/>
              </w:rPr>
            </w:pPr>
          </w:p>
        </w:tc>
        <w:tc>
          <w:tcPr>
            <w:tcW w:w="3700" w:type="dxa"/>
            <w:vAlign w:val="bottom"/>
          </w:tcPr>
          <w:p>
            <w:pPr>
              <w:jc w:val="center"/>
              <w:ind w:right="2010"/>
              <w:spacing w:after="0"/>
              <w:rPr>
                <w:sz w:val="20"/>
                <w:szCs w:val="20"/>
                <w:color w:val="auto"/>
              </w:rPr>
            </w:pPr>
            <w:r>
              <w:rPr>
                <w:rFonts w:ascii="Times New Roman" w:cs="Times New Roman" w:eastAsia="Times New Roman" w:hAnsi="Times New Roman"/>
                <w:sz w:val="18"/>
                <w:szCs w:val="18"/>
                <w:b w:val="1"/>
                <w:bCs w:val="1"/>
                <w:color w:val="auto"/>
                <w:w w:val="99"/>
              </w:rPr>
              <w:t>Credit Agricole CIB</w:t>
            </w:r>
          </w:p>
        </w:tc>
        <w:tc>
          <w:tcPr>
            <w:tcW w:w="2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Ramirez &amp; Co., Inc.</w:t>
            </w:r>
          </w:p>
        </w:tc>
      </w:tr>
      <w:tr>
        <w:trPr>
          <w:trHeight w:val="486"/>
        </w:trPr>
        <w:tc>
          <w:tcPr>
            <w:tcW w:w="3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700" w:type="dxa"/>
            <w:vAlign w:val="bottom"/>
          </w:tcPr>
          <w:p>
            <w:pPr>
              <w:jc w:val="center"/>
              <w:ind w:right="1990"/>
              <w:spacing w:after="0"/>
              <w:rPr>
                <w:sz w:val="20"/>
                <w:szCs w:val="20"/>
                <w:color w:val="auto"/>
              </w:rPr>
            </w:pPr>
            <w:r>
              <w:rPr>
                <w:rFonts w:ascii="Times New Roman" w:cs="Times New Roman" w:eastAsia="Times New Roman" w:hAnsi="Times New Roman"/>
                <w:sz w:val="18"/>
                <w:szCs w:val="18"/>
                <w:b w:val="1"/>
                <w:bCs w:val="1"/>
                <w:color w:val="auto"/>
              </w:rPr>
              <w:t>May 6, 2025</w:t>
            </w:r>
          </w:p>
        </w:tc>
        <w:tc>
          <w:tcPr>
            <w:tcW w:w="27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240"/>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1)"/>
      <w:numFmt w:val="decimal"/>
      <w:start w:val="1"/>
    </w:lvl>
    <w:lvl w:ilvl="1">
      <w:lvlJc w:val="left"/>
      <w:lvlText w:val="(%2)"/>
      <w:numFmt w:val="lowerLetter"/>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2"/>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lowerLetter"/>
      <w:start w:val="1"/>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1)"/>
      <w:numFmt w:val="decimal"/>
      <w:start w:val="3"/>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4"/>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lowerLetter"/>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9"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11.png"/><Relationship Id="rId24" Type="http://schemas.openxmlformats.org/officeDocument/2006/relationships/image" Target="media/image12.png"/><Relationship Id="rId16" Type="http://schemas.openxmlformats.org/officeDocument/2006/relationships/hyperlink" Target="https://www.sec.gov/ix?doc=/Archives/edgar/data/0001070750/000107075025000071/hst-20241231.htm" TargetMode="External"/><Relationship Id="rId17" Type="http://schemas.openxmlformats.org/officeDocument/2006/relationships/hyperlink" Target="https://www.sec.gov/ix?doc=/Archives/edgar/data/0001070750/000107075025000079/hst-20250402.htm" TargetMode="External"/><Relationship Id="rId18" Type="http://schemas.openxmlformats.org/officeDocument/2006/relationships/hyperlink" Target="https://www.sec.gov/ix?doc=/Archives/edgar/data/0001070750/000107075025000097/hst-20250331.htm" TargetMode="External"/><Relationship Id="rId20" Type="http://schemas.openxmlformats.org/officeDocument/2006/relationships/hyperlink" Target="https://www.sec.gov/ix?doc=/Archives/edgar/data/0001070750/000107075024000081/hst-20231231.htm" TargetMode="External"/><Relationship Id="rId21" Type="http://schemas.openxmlformats.org/officeDocument/2006/relationships/hyperlink" Target="https://www.sec.gov/ix?doc=/Archives/edgar/data/1070750/000107075024000110/hst-202404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2025-05-07T16:22:52Z</dcterms:created>
  <dcterms:modified xsi:type="dcterms:W3CDTF">2025-05-07T16:22:52Z</dcterms:modified>
</cp:coreProperties>
</file>