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spacing w:after="0" w:line="222"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56" w:lineRule="exact"/>
        <w:rPr>
          <w:sz w:val="24"/>
          <w:szCs w:val="24"/>
          <w:color w:val="auto"/>
        </w:rPr>
      </w:pPr>
    </w:p>
    <w:p>
      <w:pPr>
        <w:ind w:left="500" w:hanging="492"/>
        <w:spacing w:after="0"/>
        <w:tabs>
          <w:tab w:leader="none" w:pos="50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8" w:lineRule="exact"/>
        <w:rPr>
          <w:rFonts w:ascii="Wingdings" w:cs="Wingdings" w:eastAsia="Wingdings" w:hAnsi="Wingdings"/>
          <w:sz w:val="16"/>
          <w:szCs w:val="16"/>
          <w:b w:val="1"/>
          <w:bCs w:val="1"/>
          <w:color w:val="auto"/>
        </w:rPr>
      </w:pPr>
    </w:p>
    <w:p>
      <w:pPr>
        <w:ind w:left="4260"/>
        <w:spacing w:after="0"/>
        <w:rPr>
          <w:rFonts w:ascii="Wingdings" w:cs="Wingdings" w:eastAsia="Wingdings" w:hAnsi="Wingdings"/>
          <w:sz w:val="16"/>
          <w:szCs w:val="16"/>
          <w:b w:val="1"/>
          <w:bCs w:val="1"/>
          <w:color w:val="auto"/>
        </w:rPr>
      </w:pPr>
      <w:r>
        <w:rPr>
          <w:rFonts w:ascii="Times New Roman" w:cs="Times New Roman" w:eastAsia="Times New Roman" w:hAnsi="Times New Roman"/>
          <w:sz w:val="14"/>
          <w:szCs w:val="14"/>
          <w:b w:val="1"/>
          <w:bCs w:val="1"/>
          <w:color w:val="auto"/>
        </w:rPr>
        <w:t>For the fiscal year ended December 31, 2025</w:t>
      </w:r>
    </w:p>
    <w:p>
      <w:pPr>
        <w:spacing w:after="0" w:line="24" w:lineRule="exact"/>
        <w:rPr>
          <w:rFonts w:ascii="Wingdings" w:cs="Wingdings" w:eastAsia="Wingdings" w:hAnsi="Wingdings"/>
          <w:sz w:val="16"/>
          <w:szCs w:val="16"/>
          <w:b w:val="1"/>
          <w:bCs w:val="1"/>
          <w:color w:val="auto"/>
        </w:rPr>
      </w:pPr>
    </w:p>
    <w:p>
      <w:pPr>
        <w:ind w:left="5520"/>
        <w:spacing w:after="0"/>
        <w:rPr>
          <w:rFonts w:ascii="Wingdings" w:cs="Wingdings" w:eastAsia="Wingdings" w:hAnsi="Wingdings"/>
          <w:sz w:val="16"/>
          <w:szCs w:val="16"/>
          <w:b w:val="1"/>
          <w:bCs w:val="1"/>
          <w:color w:val="auto"/>
        </w:rPr>
      </w:pPr>
      <w:r>
        <w:rPr>
          <w:rFonts w:ascii="Times New Roman" w:cs="Times New Roman" w:eastAsia="Times New Roman" w:hAnsi="Times New Roman"/>
          <w:sz w:val="14"/>
          <w:szCs w:val="14"/>
          <w:b w:val="1"/>
          <w:bCs w:val="1"/>
          <w:color w:val="auto"/>
        </w:rPr>
        <w:t>OR</w:t>
      </w:r>
    </w:p>
    <w:p>
      <w:pPr>
        <w:spacing w:after="0" w:line="49" w:lineRule="exact"/>
        <w:rPr>
          <w:sz w:val="24"/>
          <w:szCs w:val="24"/>
          <w:color w:val="auto"/>
        </w:rPr>
      </w:pPr>
    </w:p>
    <w:p>
      <w:pPr>
        <w:ind w:left="480" w:hanging="472"/>
        <w:spacing w:after="0"/>
        <w:tabs>
          <w:tab w:leader="none" w:pos="48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001-14625 (Host Hotels &amp; Resorts, Inc.)</w:t>
      </w:r>
    </w:p>
    <w:p>
      <w:pPr>
        <w:jc w:val="center"/>
        <w:spacing w:after="0"/>
        <w:rPr>
          <w:sz w:val="20"/>
          <w:szCs w:val="20"/>
          <w:color w:val="auto"/>
        </w:rPr>
      </w:pPr>
      <w:r>
        <w:rPr>
          <w:rFonts w:ascii="Times New Roman" w:cs="Times New Roman" w:eastAsia="Times New Roman" w:hAnsi="Times New Roman"/>
          <w:sz w:val="14"/>
          <w:szCs w:val="14"/>
          <w:b w:val="1"/>
          <w:bCs w:val="1"/>
          <w:color w:val="auto"/>
        </w:rPr>
        <w:t>0-25087 (Host Hotels &amp; Resorts, L.P.)</w:t>
      </w:r>
    </w:p>
    <w:p>
      <w:pPr>
        <w:spacing w:after="0" w:line="7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7"/>
          <w:szCs w:val="27"/>
          <w:b w:val="1"/>
          <w:bCs w:val="1"/>
          <w:color w:val="auto"/>
        </w:rPr>
        <w:t>HOST HOTELS &amp; RESORTS, INC.</w:t>
      </w:r>
    </w:p>
    <w:p>
      <w:pPr>
        <w:ind w:left="3560"/>
        <w:spacing w:after="0" w:line="203" w:lineRule="auto"/>
        <w:rPr>
          <w:sz w:val="20"/>
          <w:szCs w:val="20"/>
          <w:color w:val="auto"/>
        </w:rPr>
      </w:pPr>
      <w:r>
        <w:rPr>
          <w:rFonts w:ascii="Times New Roman" w:cs="Times New Roman" w:eastAsia="Times New Roman" w:hAnsi="Times New Roman"/>
          <w:sz w:val="27"/>
          <w:szCs w:val="27"/>
          <w:b w:val="1"/>
          <w:bCs w:val="1"/>
          <w:color w:val="auto"/>
        </w:rPr>
        <w:t>HOST HOTELS &amp; RESORTS, L.P.</w:t>
      </w:r>
    </w:p>
    <w:p>
      <w:pPr>
        <w:spacing w:after="0" w:line="1" w:lineRule="exact"/>
        <w:rPr>
          <w:sz w:val="24"/>
          <w:szCs w:val="24"/>
          <w:color w:val="auto"/>
        </w:rPr>
      </w:pPr>
    </w:p>
    <w:tbl>
      <w:tblPr>
        <w:tblLayout w:type="fixed"/>
        <w:tblInd w:w="1120" w:type="dxa"/>
        <w:tblCellMar>
          <w:top w:w="0" w:type="dxa"/>
          <w:left w:w="0" w:type="dxa"/>
          <w:bottom w:w="0" w:type="dxa"/>
          <w:right w:w="0" w:type="dxa"/>
        </w:tblCellMar>
      </w:tblPr>
      <w:tr>
        <w:trPr>
          <w:trHeight w:val="166"/>
        </w:trPr>
        <w:tc>
          <w:tcPr>
            <w:tcW w:w="6100" w:type="dxa"/>
            <w:vAlign w:val="bottom"/>
          </w:tcPr>
          <w:p>
            <w:pPr>
              <w:ind w:left="304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2340" w:type="dxa"/>
            <w:vAlign w:val="bottom"/>
          </w:tcPr>
          <w:p>
            <w:pPr>
              <w:spacing w:after="0"/>
              <w:rPr>
                <w:sz w:val="14"/>
                <w:szCs w:val="14"/>
                <w:color w:val="auto"/>
              </w:rPr>
            </w:pPr>
          </w:p>
        </w:tc>
      </w:tr>
      <w:tr>
        <w:trPr>
          <w:trHeight w:val="497"/>
        </w:trPr>
        <w:tc>
          <w:tcPr>
            <w:tcW w:w="6100" w:type="dxa"/>
            <w:vAlign w:val="bottom"/>
          </w:tcPr>
          <w:p>
            <w:pPr>
              <w:jc w:val="center"/>
              <w:ind w:right="2697"/>
              <w:spacing w:after="0"/>
              <w:rPr>
                <w:sz w:val="20"/>
                <w:szCs w:val="20"/>
                <w:color w:val="auto"/>
              </w:rPr>
            </w:pPr>
            <w:r>
              <w:rPr>
                <w:rFonts w:ascii="Times New Roman" w:cs="Times New Roman" w:eastAsia="Times New Roman" w:hAnsi="Times New Roman"/>
                <w:sz w:val="13"/>
                <w:szCs w:val="13"/>
                <w:b w:val="1"/>
                <w:bCs w:val="1"/>
                <w:color w:val="auto"/>
                <w:w w:val="97"/>
              </w:rPr>
              <w:t>Maryland (Host Hotels &amp; Resorts, Inc.)</w:t>
            </w:r>
          </w:p>
        </w:tc>
        <w:tc>
          <w:tcPr>
            <w:tcW w:w="2340" w:type="dxa"/>
            <w:vAlign w:val="bottom"/>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6"/>
              </w:rPr>
              <w:t>53-0085950 (Host Hotels &amp; Resorts, Inc.)</w:t>
            </w:r>
          </w:p>
        </w:tc>
      </w:tr>
      <w:tr>
        <w:trPr>
          <w:trHeight w:val="216"/>
        </w:trPr>
        <w:tc>
          <w:tcPr>
            <w:tcW w:w="6100" w:type="dxa"/>
            <w:vAlign w:val="bottom"/>
          </w:tcPr>
          <w:p>
            <w:pPr>
              <w:jc w:val="center"/>
              <w:ind w:right="2697"/>
              <w:spacing w:after="0"/>
              <w:rPr>
                <w:sz w:val="20"/>
                <w:szCs w:val="20"/>
                <w:color w:val="auto"/>
              </w:rPr>
            </w:pPr>
            <w:r>
              <w:rPr>
                <w:rFonts w:ascii="Times New Roman" w:cs="Times New Roman" w:eastAsia="Times New Roman" w:hAnsi="Times New Roman"/>
                <w:sz w:val="13"/>
                <w:szCs w:val="13"/>
                <w:b w:val="1"/>
                <w:bCs w:val="1"/>
                <w:color w:val="auto"/>
                <w:w w:val="96"/>
              </w:rPr>
              <w:t>Delaware (Host Hotels &amp; Resorts, L.P.)</w:t>
            </w:r>
          </w:p>
        </w:tc>
        <w:tc>
          <w:tcPr>
            <w:tcW w:w="2340" w:type="dxa"/>
            <w:vAlign w:val="bottom"/>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6"/>
              </w:rPr>
              <w:t>52-2095412 (Host Hotels &amp; Resorts, L.P.)</w:t>
            </w:r>
          </w:p>
        </w:tc>
      </w:tr>
      <w:tr>
        <w:trPr>
          <w:trHeight w:val="203"/>
        </w:trPr>
        <w:tc>
          <w:tcPr>
            <w:tcW w:w="6100" w:type="dxa"/>
            <w:vAlign w:val="bottom"/>
          </w:tcPr>
          <w:p>
            <w:pPr>
              <w:jc w:val="center"/>
              <w:ind w:right="2697"/>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 or Organization)</w:t>
            </w:r>
          </w:p>
        </w:tc>
        <w:tc>
          <w:tcPr>
            <w:tcW w:w="2340" w:type="dxa"/>
            <w:vAlign w:val="bottom"/>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7"/>
              </w:rPr>
              <w:t>(I.R.S. Employer Identification No.)</w:t>
            </w:r>
          </w:p>
        </w:tc>
      </w:tr>
      <w:tr>
        <w:trPr>
          <w:trHeight w:val="203"/>
        </w:trPr>
        <w:tc>
          <w:tcPr>
            <w:tcW w:w="6100" w:type="dxa"/>
            <w:vAlign w:val="bottom"/>
          </w:tcPr>
          <w:p>
            <w:pPr>
              <w:jc w:val="center"/>
              <w:ind w:right="2697"/>
              <w:spacing w:after="0"/>
              <w:rPr>
                <w:sz w:val="20"/>
                <w:szCs w:val="20"/>
                <w:color w:val="auto"/>
              </w:rPr>
            </w:pPr>
            <w:r>
              <w:rPr>
                <w:rFonts w:ascii="Times New Roman" w:cs="Times New Roman" w:eastAsia="Times New Roman" w:hAnsi="Times New Roman"/>
                <w:sz w:val="13"/>
                <w:szCs w:val="13"/>
                <w:b w:val="1"/>
                <w:bCs w:val="1"/>
                <w:color w:val="auto"/>
                <w:w w:val="96"/>
              </w:rPr>
              <w:t>4747 Bethesda Ave, Suite 1300 Bethesda, Maryland</w:t>
            </w:r>
          </w:p>
        </w:tc>
        <w:tc>
          <w:tcPr>
            <w:tcW w:w="2340" w:type="dxa"/>
            <w:vAlign w:val="bottom"/>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2"/>
              </w:rPr>
              <w:t>20814</w:t>
            </w:r>
          </w:p>
        </w:tc>
      </w:tr>
      <w:tr>
        <w:trPr>
          <w:trHeight w:val="203"/>
        </w:trPr>
        <w:tc>
          <w:tcPr>
            <w:tcW w:w="6100" w:type="dxa"/>
            <w:vAlign w:val="bottom"/>
          </w:tcPr>
          <w:p>
            <w:pPr>
              <w:jc w:val="center"/>
              <w:ind w:right="269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340" w:type="dxa"/>
            <w:vAlign w:val="bottom"/>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78" w:lineRule="exact"/>
        <w:rPr>
          <w:sz w:val="24"/>
          <w:szCs w:val="24"/>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Host Hotels &amp; Resorts, Inc.</w:t>
      </w:r>
    </w:p>
    <w:p>
      <w:pPr>
        <w:spacing w:after="0" w:line="24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Host Hotels &amp; Resorts, L.P.</w:t>
      </w:r>
    </w:p>
    <w:p>
      <w:pPr>
        <w:spacing w:after="0" w:line="20" w:lineRule="exact"/>
        <w:rPr>
          <w:sz w:val="24"/>
          <w:szCs w:val="24"/>
          <w:color w:val="auto"/>
        </w:rPr>
      </w:pPr>
      <w:r>
        <w:rPr>
          <w:sz w:val="24"/>
          <w:szCs w:val="24"/>
          <w:color w:val="auto"/>
        </w:rPr>
        <w:br w:type="column"/>
      </w:r>
    </w:p>
    <w:p>
      <w:pPr>
        <w:jc w:val="center"/>
        <w:ind w:right="2140"/>
        <w:spacing w:after="0"/>
        <w:rPr>
          <w:sz w:val="20"/>
          <w:szCs w:val="20"/>
          <w:color w:val="auto"/>
        </w:rPr>
      </w:pPr>
      <w:r>
        <w:rPr>
          <w:rFonts w:ascii="Times New Roman" w:cs="Times New Roman" w:eastAsia="Times New Roman" w:hAnsi="Times New Roman"/>
          <w:sz w:val="13"/>
          <w:szCs w:val="13"/>
          <w:b w:val="1"/>
          <w:bCs w:val="1"/>
          <w:color w:val="auto"/>
        </w:rPr>
        <w:t>(240) 744-1000</w:t>
      </w:r>
    </w:p>
    <w:p>
      <w:pPr>
        <w:jc w:val="center"/>
        <w:ind w:right="214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24"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100" w:type="dxa"/>
            <w:vAlign w:val="bottom"/>
          </w:tcPr>
          <w:p>
            <w:pPr>
              <w:spacing w:after="0"/>
              <w:rPr>
                <w:sz w:val="16"/>
                <w:szCs w:val="16"/>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84"/>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Common Stock, $.01 par value (687,802,181</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HST</w:t>
            </w:r>
          </w:p>
        </w:tc>
        <w:tc>
          <w:tcPr>
            <w:tcW w:w="3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r>
        <w:trPr>
          <w:trHeight w:val="164"/>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shares outstanding as of February 20, 2026)</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189"/>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None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None</w:t>
            </w:r>
          </w:p>
        </w:tc>
        <w:tc>
          <w:tcPr>
            <w:tcW w:w="3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None</w:t>
            </w:r>
          </w:p>
        </w:tc>
      </w:tr>
    </w:tbl>
    <w:p>
      <w:pPr>
        <w:spacing w:after="0" w:line="101" w:lineRule="exact"/>
        <w:rPr>
          <w:sz w:val="24"/>
          <w:szCs w:val="24"/>
          <w:color w:val="auto"/>
        </w:rPr>
      </w:pPr>
    </w:p>
    <w:p>
      <w:pPr>
        <w:sectPr>
          <w:pgSz w:w="11900" w:h="16838" w:orient="portrait"/>
          <w:cols w:equalWidth="0" w:num="2">
            <w:col w:w="1420" w:space="720"/>
            <w:col w:w="9100"/>
          </w:cols>
          <w:pgMar w:left="320" w:top="22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12(g) of the Act:</w:t>
      </w:r>
    </w:p>
    <w:p>
      <w:pPr>
        <w:spacing w:after="0" w:line="211" w:lineRule="auto"/>
        <w:tabs>
          <w:tab w:leader="none" w:pos="1500" w:val="left"/>
        </w:tabs>
        <w:rPr>
          <w:sz w:val="20"/>
          <w:szCs w:val="20"/>
          <w:color w:val="auto"/>
        </w:rPr>
      </w:pPr>
      <w:r>
        <w:rPr>
          <w:rFonts w:ascii="Times New Roman" w:cs="Times New Roman" w:eastAsia="Times New Roman" w:hAnsi="Times New Roman"/>
          <w:sz w:val="13"/>
          <w:szCs w:val="13"/>
          <w:color w:val="auto"/>
        </w:rPr>
        <w:t>Host Hotels &amp; Resorts, Inc.</w:t>
      </w:r>
      <w:r>
        <w:rPr>
          <w:sz w:val="20"/>
          <w:szCs w:val="20"/>
          <w:color w:val="auto"/>
        </w:rPr>
        <w:tab/>
      </w:r>
      <w:r>
        <w:rPr>
          <w:rFonts w:ascii="Times New Roman" w:cs="Times New Roman" w:eastAsia="Times New Roman" w:hAnsi="Times New Roman"/>
          <w:sz w:val="12"/>
          <w:szCs w:val="12"/>
          <w:color w:val="auto"/>
        </w:rPr>
        <w:t>None</w:t>
      </w:r>
    </w:p>
    <w:p>
      <w:pPr>
        <w:spacing w:after="0"/>
        <w:tabs>
          <w:tab w:leader="none" w:pos="1500" w:val="left"/>
        </w:tabs>
        <w:rPr>
          <w:sz w:val="20"/>
          <w:szCs w:val="20"/>
          <w:color w:val="auto"/>
        </w:rPr>
      </w:pPr>
      <w:r>
        <w:rPr>
          <w:rFonts w:ascii="Times New Roman" w:cs="Times New Roman" w:eastAsia="Times New Roman" w:hAnsi="Times New Roman"/>
          <w:sz w:val="13"/>
          <w:szCs w:val="13"/>
          <w:color w:val="auto"/>
        </w:rPr>
        <w:t>Host Hotels &amp; Resorts, L.P.</w:t>
      </w:r>
      <w:r>
        <w:rPr>
          <w:sz w:val="20"/>
          <w:szCs w:val="20"/>
          <w:color w:val="auto"/>
        </w:rPr>
        <w:tab/>
      </w:r>
      <w:r>
        <w:rPr>
          <w:rFonts w:ascii="Times New Roman" w:cs="Times New Roman" w:eastAsia="Times New Roman" w:hAnsi="Times New Roman"/>
          <w:sz w:val="12"/>
          <w:szCs w:val="12"/>
          <w:color w:val="auto"/>
        </w:rPr>
        <w:t>Units of limited partnership interest 682,283,862 units outstanding as of February 20, 2026)</w:t>
      </w:r>
    </w:p>
    <w:p>
      <w:pPr>
        <w:spacing w:after="0" w:line="2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p>
      <w:pPr>
        <w:spacing w:after="0" w:line="11" w:lineRule="exact"/>
        <w:rPr>
          <w:sz w:val="24"/>
          <w:szCs w:val="24"/>
          <w:color w:val="auto"/>
        </w:rPr>
      </w:pPr>
    </w:p>
    <w:p>
      <w:pPr>
        <w:spacing w:after="0"/>
        <w:tabs>
          <w:tab w:leader="none" w:pos="1500" w:val="left"/>
          <w:tab w:leader="none" w:pos="1980" w:val="left"/>
        </w:tabs>
        <w:rPr>
          <w:sz w:val="20"/>
          <w:szCs w:val="20"/>
          <w:color w:val="auto"/>
        </w:rPr>
      </w:pPr>
      <w:r>
        <w:rPr>
          <w:rFonts w:ascii="Times New Roman" w:cs="Times New Roman" w:eastAsia="Times New Roman" w:hAnsi="Times New Roman"/>
          <w:sz w:val="13"/>
          <w:szCs w:val="13"/>
          <w:color w:val="auto"/>
        </w:rPr>
        <w:t>Host Hotels &amp; Resorts, Inc.</w:t>
        <w:tab/>
        <w:t xml:space="preserve">Yes </w:t>
      </w:r>
      <w:r>
        <w:rPr>
          <w:rFonts w:ascii="Wingdings" w:cs="Wingdings" w:eastAsia="Wingdings" w:hAnsi="Wingdings"/>
          <w:sz w:val="13"/>
          <w:szCs w:val="13"/>
          <w:b w:val="1"/>
          <w:bCs w:val="1"/>
          <w:color w:val="auto"/>
        </w:rPr>
        <w:t>x</w:t>
      </w:r>
      <w:r>
        <w:rPr>
          <w:sz w:val="20"/>
          <w:szCs w:val="20"/>
          <w:color w:val="auto"/>
        </w:rPr>
        <w:tab/>
      </w:r>
      <w:r>
        <w:rPr>
          <w:rFonts w:ascii="Times New Roman" w:cs="Times New Roman" w:eastAsia="Times New Roman" w:hAnsi="Times New Roman"/>
          <w:sz w:val="12"/>
          <w:szCs w:val="12"/>
          <w:color w:val="auto"/>
        </w:rPr>
        <w:t xml:space="preserve">No </w:t>
      </w:r>
      <w:r>
        <w:rPr>
          <w:rFonts w:ascii="Wingdings" w:cs="Wingdings" w:eastAsia="Wingdings" w:hAnsi="Wingdings"/>
          <w:sz w:val="12"/>
          <w:szCs w:val="12"/>
          <w:b w:val="1"/>
          <w:bCs w:val="1"/>
          <w:color w:val="auto"/>
        </w:rPr>
        <w:t>o</w:t>
      </w:r>
    </w:p>
    <w:p>
      <w:pPr>
        <w:spacing w:after="0"/>
        <w:tabs>
          <w:tab w:leader="none" w:pos="1500" w:val="left"/>
          <w:tab w:leader="none" w:pos="1960" w:val="left"/>
        </w:tabs>
        <w:rPr>
          <w:sz w:val="20"/>
          <w:szCs w:val="20"/>
          <w:color w:val="auto"/>
        </w:rPr>
      </w:pPr>
      <w:r>
        <w:rPr>
          <w:rFonts w:ascii="Times New Roman" w:cs="Times New Roman" w:eastAsia="Times New Roman" w:hAnsi="Times New Roman"/>
          <w:sz w:val="13"/>
          <w:szCs w:val="13"/>
          <w:color w:val="auto"/>
        </w:rPr>
        <w:t>Host Hotels &amp; Resorts, L.P.</w:t>
        <w:tab/>
        <w:t xml:space="preserve">Yes </w:t>
      </w:r>
      <w:r>
        <w:rPr>
          <w:rFonts w:ascii="Wingdings" w:cs="Wingdings" w:eastAsia="Wingdings" w:hAnsi="Wingdings"/>
          <w:sz w:val="13"/>
          <w:szCs w:val="13"/>
          <w:b w:val="1"/>
          <w:bCs w:val="1"/>
          <w:color w:val="auto"/>
        </w:rPr>
        <w:t>o</w:t>
      </w:r>
      <w:r>
        <w:rPr>
          <w:sz w:val="20"/>
          <w:szCs w:val="20"/>
          <w:color w:val="auto"/>
        </w:rPr>
        <w:tab/>
      </w:r>
      <w:r>
        <w:rPr>
          <w:rFonts w:ascii="Times New Roman" w:cs="Times New Roman" w:eastAsia="Times New Roman" w:hAnsi="Times New Roman"/>
          <w:sz w:val="12"/>
          <w:szCs w:val="12"/>
          <w:color w:val="auto"/>
        </w:rPr>
        <w:t xml:space="preserve">No </w:t>
      </w:r>
      <w:r>
        <w:rPr>
          <w:rFonts w:ascii="Wingdings" w:cs="Wingdings" w:eastAsia="Wingdings" w:hAnsi="Wingdings"/>
          <w:sz w:val="12"/>
          <w:szCs w:val="12"/>
          <w:b w:val="1"/>
          <w:bCs w:val="1"/>
          <w:color w:val="auto"/>
        </w:rPr>
        <w:t>x</w:t>
      </w:r>
    </w:p>
    <w:p>
      <w:pPr>
        <w:spacing w:after="0" w:line="2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p>
      <w:pPr>
        <w:spacing w:after="0" w:line="11" w:lineRule="exact"/>
        <w:rPr>
          <w:sz w:val="24"/>
          <w:szCs w:val="24"/>
          <w:color w:val="auto"/>
        </w:rPr>
      </w:pPr>
    </w:p>
    <w:p>
      <w:pPr>
        <w:spacing w:after="0"/>
        <w:tabs>
          <w:tab w:leader="none" w:pos="1500" w:val="left"/>
          <w:tab w:leader="none" w:pos="1960" w:val="left"/>
        </w:tabs>
        <w:rPr>
          <w:sz w:val="20"/>
          <w:szCs w:val="20"/>
          <w:color w:val="auto"/>
        </w:rPr>
      </w:pPr>
      <w:r>
        <w:rPr>
          <w:rFonts w:ascii="Times New Roman" w:cs="Times New Roman" w:eastAsia="Times New Roman" w:hAnsi="Times New Roman"/>
          <w:sz w:val="13"/>
          <w:szCs w:val="13"/>
          <w:color w:val="auto"/>
        </w:rPr>
        <w:t>Host Hotels &amp; Resorts, Inc.</w:t>
        <w:tab/>
        <w:t xml:space="preserve">Yes </w:t>
      </w:r>
      <w:r>
        <w:rPr>
          <w:rFonts w:ascii="Wingdings" w:cs="Wingdings" w:eastAsia="Wingdings" w:hAnsi="Wingdings"/>
          <w:sz w:val="13"/>
          <w:szCs w:val="13"/>
          <w:b w:val="1"/>
          <w:bCs w:val="1"/>
          <w:color w:val="auto"/>
        </w:rPr>
        <w:t>o</w:t>
      </w:r>
      <w:r>
        <w:rPr>
          <w:sz w:val="20"/>
          <w:szCs w:val="20"/>
          <w:color w:val="auto"/>
        </w:rPr>
        <w:tab/>
      </w:r>
      <w:r>
        <w:rPr>
          <w:rFonts w:ascii="Times New Roman" w:cs="Times New Roman" w:eastAsia="Times New Roman" w:hAnsi="Times New Roman"/>
          <w:sz w:val="12"/>
          <w:szCs w:val="12"/>
          <w:color w:val="auto"/>
        </w:rPr>
        <w:t xml:space="preserve">No </w:t>
      </w:r>
      <w:r>
        <w:rPr>
          <w:rFonts w:ascii="Wingdings" w:cs="Wingdings" w:eastAsia="Wingdings" w:hAnsi="Wingdings"/>
          <w:sz w:val="12"/>
          <w:szCs w:val="12"/>
          <w:b w:val="1"/>
          <w:bCs w:val="1"/>
          <w:color w:val="auto"/>
        </w:rPr>
        <w:t>x</w:t>
      </w:r>
    </w:p>
    <w:p>
      <w:pPr>
        <w:spacing w:after="0"/>
        <w:tabs>
          <w:tab w:leader="none" w:pos="1500" w:val="left"/>
          <w:tab w:leader="none" w:pos="1960" w:val="left"/>
        </w:tabs>
        <w:rPr>
          <w:sz w:val="20"/>
          <w:szCs w:val="20"/>
          <w:color w:val="auto"/>
        </w:rPr>
      </w:pPr>
      <w:r>
        <w:rPr>
          <w:rFonts w:ascii="Times New Roman" w:cs="Times New Roman" w:eastAsia="Times New Roman" w:hAnsi="Times New Roman"/>
          <w:sz w:val="13"/>
          <w:szCs w:val="13"/>
          <w:color w:val="auto"/>
        </w:rPr>
        <w:t>Host Hotels &amp; Resorts, L.P.</w:t>
        <w:tab/>
        <w:t xml:space="preserve">Yes </w:t>
      </w:r>
      <w:r>
        <w:rPr>
          <w:rFonts w:ascii="Wingdings" w:cs="Wingdings" w:eastAsia="Wingdings" w:hAnsi="Wingdings"/>
          <w:sz w:val="13"/>
          <w:szCs w:val="13"/>
          <w:b w:val="1"/>
          <w:bCs w:val="1"/>
          <w:color w:val="auto"/>
        </w:rPr>
        <w:t>o</w:t>
      </w:r>
      <w:r>
        <w:rPr>
          <w:sz w:val="20"/>
          <w:szCs w:val="20"/>
          <w:color w:val="auto"/>
        </w:rPr>
        <w:tab/>
      </w:r>
      <w:r>
        <w:rPr>
          <w:rFonts w:ascii="Times New Roman" w:cs="Times New Roman" w:eastAsia="Times New Roman" w:hAnsi="Times New Roman"/>
          <w:sz w:val="12"/>
          <w:szCs w:val="12"/>
          <w:color w:val="auto"/>
        </w:rPr>
        <w:t xml:space="preserve">No </w:t>
      </w:r>
      <w:r>
        <w:rPr>
          <w:rFonts w:ascii="Wingdings" w:cs="Wingdings" w:eastAsia="Wingdings" w:hAnsi="Wingdings"/>
          <w:sz w:val="12"/>
          <w:szCs w:val="12"/>
          <w:b w:val="1"/>
          <w:bCs w:val="1"/>
          <w:color w:val="auto"/>
        </w:rPr>
        <w:t>x</w:t>
      </w:r>
    </w:p>
    <w:p>
      <w:pPr>
        <w:spacing w:after="0" w:line="27" w:lineRule="exact"/>
        <w:rPr>
          <w:sz w:val="24"/>
          <w:szCs w:val="24"/>
          <w:color w:val="auto"/>
        </w:rPr>
      </w:pPr>
    </w:p>
    <w:p>
      <w:pPr>
        <w:ind w:right="260" w:firstLine="648"/>
        <w:spacing w:after="0" w:line="229"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 w:lineRule="exact"/>
        <w:rPr>
          <w:sz w:val="24"/>
          <w:szCs w:val="24"/>
          <w:color w:val="auto"/>
        </w:rPr>
      </w:pPr>
    </w:p>
    <w:p>
      <w:pPr>
        <w:spacing w:after="0"/>
        <w:tabs>
          <w:tab w:leader="none" w:pos="1500" w:val="left"/>
          <w:tab w:leader="none" w:pos="1980" w:val="left"/>
        </w:tabs>
        <w:rPr>
          <w:sz w:val="20"/>
          <w:szCs w:val="20"/>
          <w:color w:val="auto"/>
        </w:rPr>
      </w:pPr>
      <w:r>
        <w:rPr>
          <w:rFonts w:ascii="Times New Roman" w:cs="Times New Roman" w:eastAsia="Times New Roman" w:hAnsi="Times New Roman"/>
          <w:sz w:val="13"/>
          <w:szCs w:val="13"/>
          <w:color w:val="auto"/>
        </w:rPr>
        <w:t>Host Hotels &amp; Resorts, Inc.</w:t>
        <w:tab/>
        <w:t xml:space="preserve">Yes </w:t>
      </w:r>
      <w:r>
        <w:rPr>
          <w:rFonts w:ascii="Wingdings" w:cs="Wingdings" w:eastAsia="Wingdings" w:hAnsi="Wingdings"/>
          <w:sz w:val="13"/>
          <w:szCs w:val="13"/>
          <w:b w:val="1"/>
          <w:bCs w:val="1"/>
          <w:color w:val="auto"/>
        </w:rPr>
        <w:t>x</w:t>
      </w:r>
      <w:r>
        <w:rPr>
          <w:sz w:val="20"/>
          <w:szCs w:val="20"/>
          <w:color w:val="auto"/>
        </w:rPr>
        <w:tab/>
      </w:r>
      <w:r>
        <w:rPr>
          <w:rFonts w:ascii="Times New Roman" w:cs="Times New Roman" w:eastAsia="Times New Roman" w:hAnsi="Times New Roman"/>
          <w:sz w:val="12"/>
          <w:szCs w:val="12"/>
          <w:color w:val="auto"/>
        </w:rPr>
        <w:t xml:space="preserve">No </w:t>
      </w:r>
      <w:r>
        <w:rPr>
          <w:rFonts w:ascii="Wingdings" w:cs="Wingdings" w:eastAsia="Wingdings" w:hAnsi="Wingdings"/>
          <w:sz w:val="12"/>
          <w:szCs w:val="12"/>
          <w:b w:val="1"/>
          <w:bCs w:val="1"/>
          <w:color w:val="auto"/>
        </w:rPr>
        <w:t>o</w:t>
      </w:r>
    </w:p>
    <w:p>
      <w:pPr>
        <w:spacing w:after="0"/>
        <w:tabs>
          <w:tab w:leader="none" w:pos="1500" w:val="left"/>
          <w:tab w:leader="none" w:pos="1980" w:val="left"/>
        </w:tabs>
        <w:rPr>
          <w:sz w:val="20"/>
          <w:szCs w:val="20"/>
          <w:color w:val="auto"/>
        </w:rPr>
      </w:pPr>
      <w:r>
        <w:rPr>
          <w:rFonts w:ascii="Times New Roman" w:cs="Times New Roman" w:eastAsia="Times New Roman" w:hAnsi="Times New Roman"/>
          <w:sz w:val="13"/>
          <w:szCs w:val="13"/>
          <w:color w:val="auto"/>
        </w:rPr>
        <w:t>Host Hotels &amp; Resorts, L.P.</w:t>
        <w:tab/>
        <w:t xml:space="preserve">Yes </w:t>
      </w:r>
      <w:r>
        <w:rPr>
          <w:rFonts w:ascii="Wingdings" w:cs="Wingdings" w:eastAsia="Wingdings" w:hAnsi="Wingdings"/>
          <w:sz w:val="13"/>
          <w:szCs w:val="13"/>
          <w:b w:val="1"/>
          <w:bCs w:val="1"/>
          <w:color w:val="auto"/>
        </w:rPr>
        <w:t>x</w:t>
      </w:r>
      <w:r>
        <w:rPr>
          <w:sz w:val="20"/>
          <w:szCs w:val="20"/>
          <w:color w:val="auto"/>
        </w:rPr>
        <w:tab/>
      </w:r>
      <w:r>
        <w:rPr>
          <w:rFonts w:ascii="Times New Roman" w:cs="Times New Roman" w:eastAsia="Times New Roman" w:hAnsi="Times New Roman"/>
          <w:sz w:val="12"/>
          <w:szCs w:val="12"/>
          <w:color w:val="auto"/>
        </w:rPr>
        <w:t xml:space="preserve">No </w:t>
      </w:r>
      <w:r>
        <w:rPr>
          <w:rFonts w:ascii="Wingdings" w:cs="Wingdings" w:eastAsia="Wingdings" w:hAnsi="Wingdings"/>
          <w:sz w:val="12"/>
          <w:szCs w:val="12"/>
          <w:b w:val="1"/>
          <w:bCs w:val="1"/>
          <w:color w:val="auto"/>
        </w:rPr>
        <w:t>o</w:t>
      </w:r>
    </w:p>
    <w:p>
      <w:pPr>
        <w:spacing w:after="0" w:line="13" w:lineRule="exact"/>
        <w:rPr>
          <w:sz w:val="24"/>
          <w:szCs w:val="24"/>
          <w:color w:val="auto"/>
        </w:rPr>
      </w:pPr>
    </w:p>
    <w:p>
      <w:pPr>
        <w:ind w:right="260" w:firstLine="648"/>
        <w:spacing w:after="0" w:line="229"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0" w:lineRule="exact"/>
        <w:rPr>
          <w:sz w:val="24"/>
          <w:szCs w:val="24"/>
          <w:color w:val="auto"/>
        </w:rPr>
      </w:pPr>
    </w:p>
    <w:p>
      <w:pPr>
        <w:spacing w:after="0"/>
        <w:tabs>
          <w:tab w:leader="none" w:pos="1500" w:val="left"/>
          <w:tab w:leader="none" w:pos="1980" w:val="left"/>
        </w:tabs>
        <w:rPr>
          <w:sz w:val="20"/>
          <w:szCs w:val="20"/>
          <w:color w:val="auto"/>
        </w:rPr>
      </w:pPr>
      <w:r>
        <w:rPr>
          <w:rFonts w:ascii="Times New Roman" w:cs="Times New Roman" w:eastAsia="Times New Roman" w:hAnsi="Times New Roman"/>
          <w:sz w:val="13"/>
          <w:szCs w:val="13"/>
          <w:color w:val="auto"/>
        </w:rPr>
        <w:t>Host Hotels &amp; Resorts, Inc.</w:t>
        <w:tab/>
        <w:t xml:space="preserve">Yes </w:t>
      </w:r>
      <w:r>
        <w:rPr>
          <w:rFonts w:ascii="Wingdings" w:cs="Wingdings" w:eastAsia="Wingdings" w:hAnsi="Wingdings"/>
          <w:sz w:val="13"/>
          <w:szCs w:val="13"/>
          <w:b w:val="1"/>
          <w:bCs w:val="1"/>
          <w:color w:val="auto"/>
        </w:rPr>
        <w:t>x</w:t>
      </w:r>
      <w:r>
        <w:rPr>
          <w:sz w:val="20"/>
          <w:szCs w:val="20"/>
          <w:color w:val="auto"/>
        </w:rPr>
        <w:tab/>
      </w:r>
      <w:r>
        <w:rPr>
          <w:rFonts w:ascii="Times New Roman" w:cs="Times New Roman" w:eastAsia="Times New Roman" w:hAnsi="Times New Roman"/>
          <w:sz w:val="12"/>
          <w:szCs w:val="12"/>
          <w:color w:val="auto"/>
        </w:rPr>
        <w:t xml:space="preserve">No </w:t>
      </w:r>
      <w:r>
        <w:rPr>
          <w:rFonts w:ascii="Wingdings" w:cs="Wingdings" w:eastAsia="Wingdings" w:hAnsi="Wingdings"/>
          <w:sz w:val="12"/>
          <w:szCs w:val="12"/>
          <w:b w:val="1"/>
          <w:bCs w:val="1"/>
          <w:color w:val="auto"/>
        </w:rPr>
        <w:t>o</w:t>
      </w:r>
    </w:p>
    <w:p>
      <w:pPr>
        <w:spacing w:after="0"/>
        <w:tabs>
          <w:tab w:leader="none" w:pos="1500" w:val="left"/>
          <w:tab w:leader="none" w:pos="1980" w:val="left"/>
        </w:tabs>
        <w:rPr>
          <w:sz w:val="20"/>
          <w:szCs w:val="20"/>
          <w:color w:val="auto"/>
        </w:rPr>
      </w:pPr>
      <w:r>
        <w:rPr>
          <w:rFonts w:ascii="Times New Roman" w:cs="Times New Roman" w:eastAsia="Times New Roman" w:hAnsi="Times New Roman"/>
          <w:sz w:val="13"/>
          <w:szCs w:val="13"/>
          <w:color w:val="auto"/>
        </w:rPr>
        <w:t>Host Hotels &amp; Resorts, L.P.</w:t>
        <w:tab/>
        <w:t xml:space="preserve">Yes </w:t>
      </w:r>
      <w:r>
        <w:rPr>
          <w:rFonts w:ascii="Wingdings" w:cs="Wingdings" w:eastAsia="Wingdings" w:hAnsi="Wingdings"/>
          <w:sz w:val="13"/>
          <w:szCs w:val="13"/>
          <w:b w:val="1"/>
          <w:bCs w:val="1"/>
          <w:color w:val="auto"/>
        </w:rPr>
        <w:t>x</w:t>
      </w:r>
      <w:r>
        <w:rPr>
          <w:sz w:val="20"/>
          <w:szCs w:val="20"/>
          <w:color w:val="auto"/>
        </w:rPr>
        <w:tab/>
      </w:r>
      <w:r>
        <w:rPr>
          <w:rFonts w:ascii="Times New Roman" w:cs="Times New Roman" w:eastAsia="Times New Roman" w:hAnsi="Times New Roman"/>
          <w:sz w:val="12"/>
          <w:szCs w:val="12"/>
          <w:color w:val="auto"/>
        </w:rPr>
        <w:t xml:space="preserve">No </w:t>
      </w:r>
      <w:r>
        <w:rPr>
          <w:rFonts w:ascii="Wingdings" w:cs="Wingdings" w:eastAsia="Wingdings" w:hAnsi="Wingdings"/>
          <w:sz w:val="12"/>
          <w:szCs w:val="12"/>
          <w:b w:val="1"/>
          <w:bCs w:val="1"/>
          <w:color w:val="auto"/>
        </w:rPr>
        <w:t>o</w:t>
      </w:r>
    </w:p>
    <w:p>
      <w:pPr>
        <w:spacing w:after="0" w:line="13" w:lineRule="exact"/>
        <w:rPr>
          <w:sz w:val="24"/>
          <w:szCs w:val="24"/>
          <w:color w:val="auto"/>
        </w:rPr>
      </w:pPr>
    </w:p>
    <w:p>
      <w:pPr>
        <w:ind w:right="100" w:firstLine="648"/>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Host Hotels &amp; Resorts, Inc.</w:t>
            </w:r>
          </w:p>
        </w:tc>
        <w:tc>
          <w:tcPr>
            <w:tcW w:w="21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9"/>
        </w:trPr>
        <w:tc>
          <w:tcPr>
            <w:tcW w:w="2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Large accelerated filer</w:t>
            </w:r>
          </w:p>
        </w:tc>
        <w:tc>
          <w:tcPr>
            <w:tcW w:w="2180" w:type="dxa"/>
            <w:vAlign w:val="bottom"/>
          </w:tcPr>
          <w:p>
            <w:pPr>
              <w:ind w:left="1380"/>
              <w:spacing w:after="0"/>
              <w:rPr>
                <w:sz w:val="20"/>
                <w:szCs w:val="20"/>
                <w:color w:val="auto"/>
              </w:rPr>
            </w:pPr>
            <w:r>
              <w:rPr>
                <w:rFonts w:ascii="Wingdings" w:cs="Wingdings" w:eastAsia="Wingdings" w:hAnsi="Wingdings"/>
                <w:sz w:val="13"/>
                <w:szCs w:val="13"/>
                <w:b w:val="1"/>
                <w:bCs w:val="1"/>
                <w:color w:val="auto"/>
              </w:rPr>
              <w:t>x</w:t>
            </w:r>
          </w:p>
        </w:tc>
        <w:tc>
          <w:tcPr>
            <w:tcW w:w="34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Accelerated filer</w:t>
            </w:r>
          </w:p>
        </w:tc>
        <w:tc>
          <w:tcPr>
            <w:tcW w:w="1500" w:type="dxa"/>
            <w:vAlign w:val="bottom"/>
          </w:tcPr>
          <w:p>
            <w:pPr>
              <w:ind w:left="1380"/>
              <w:spacing w:after="0"/>
              <w:rPr>
                <w:sz w:val="20"/>
                <w:szCs w:val="20"/>
                <w:color w:val="auto"/>
              </w:rPr>
            </w:pPr>
            <w:r>
              <w:rPr>
                <w:rFonts w:ascii="Wingdings" w:cs="Wingdings" w:eastAsia="Wingdings" w:hAnsi="Wingdings"/>
                <w:sz w:val="13"/>
                <w:szCs w:val="13"/>
                <w:b w:val="1"/>
                <w:bCs w:val="1"/>
                <w:color w:val="auto"/>
                <w:w w:val="85"/>
              </w:rPr>
              <w:t>o</w:t>
            </w: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Non-accelerated filer</w:t>
            </w:r>
          </w:p>
        </w:tc>
        <w:tc>
          <w:tcPr>
            <w:tcW w:w="2180" w:type="dxa"/>
            <w:vAlign w:val="bottom"/>
          </w:tcPr>
          <w:p>
            <w:pPr>
              <w:ind w:left="1380"/>
              <w:spacing w:after="0"/>
              <w:rPr>
                <w:sz w:val="20"/>
                <w:szCs w:val="20"/>
                <w:color w:val="auto"/>
              </w:rPr>
            </w:pPr>
            <w:r>
              <w:rPr>
                <w:rFonts w:ascii="Wingdings" w:cs="Wingdings" w:eastAsia="Wingdings" w:hAnsi="Wingdings"/>
                <w:sz w:val="13"/>
                <w:szCs w:val="13"/>
                <w:b w:val="1"/>
                <w:bCs w:val="1"/>
                <w:color w:val="auto"/>
              </w:rPr>
              <w:t>o</w:t>
            </w:r>
          </w:p>
        </w:tc>
        <w:tc>
          <w:tcPr>
            <w:tcW w:w="34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500" w:type="dxa"/>
            <w:vAlign w:val="bottom"/>
          </w:tcPr>
          <w:p>
            <w:pPr>
              <w:ind w:left="1380"/>
              <w:spacing w:after="0"/>
              <w:rPr>
                <w:sz w:val="20"/>
                <w:szCs w:val="20"/>
                <w:color w:val="auto"/>
              </w:rPr>
            </w:pPr>
            <w:r>
              <w:rPr>
                <w:rFonts w:ascii="Wingdings" w:cs="Wingdings" w:eastAsia="Wingdings" w:hAnsi="Wingdings"/>
                <w:sz w:val="13"/>
                <w:szCs w:val="13"/>
                <w:b w:val="1"/>
                <w:bCs w:val="1"/>
                <w:color w:val="auto"/>
                <w:w w:val="85"/>
              </w:rPr>
              <w:t>o</w:t>
            </w:r>
          </w:p>
        </w:tc>
      </w:tr>
      <w:tr>
        <w:trPr>
          <w:trHeight w:val="203"/>
        </w:trPr>
        <w:tc>
          <w:tcPr>
            <w:tcW w:w="27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4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Emerging growth company</w:t>
            </w:r>
          </w:p>
        </w:tc>
        <w:tc>
          <w:tcPr>
            <w:tcW w:w="1500" w:type="dxa"/>
            <w:vAlign w:val="bottom"/>
          </w:tcPr>
          <w:p>
            <w:pPr>
              <w:ind w:left="1380"/>
              <w:spacing w:after="0"/>
              <w:rPr>
                <w:sz w:val="20"/>
                <w:szCs w:val="20"/>
                <w:color w:val="auto"/>
              </w:rPr>
            </w:pPr>
            <w:r>
              <w:rPr>
                <w:rFonts w:ascii="Wingdings" w:cs="Wingdings" w:eastAsia="Wingdings" w:hAnsi="Wingdings"/>
                <w:sz w:val="13"/>
                <w:szCs w:val="13"/>
                <w:b w:val="1"/>
                <w:bCs w:val="1"/>
                <w:color w:val="auto"/>
                <w:w w:val="85"/>
              </w:rPr>
              <w:t>o</w:t>
            </w: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auto"/>
              </w:rPr>
              <w:t>Host Hotels &amp; Resorts, L.P.</w:t>
            </w:r>
          </w:p>
        </w:tc>
        <w:tc>
          <w:tcPr>
            <w:tcW w:w="218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Large accelerated filer</w:t>
            </w:r>
          </w:p>
        </w:tc>
        <w:tc>
          <w:tcPr>
            <w:tcW w:w="2180" w:type="dxa"/>
            <w:vAlign w:val="bottom"/>
          </w:tcPr>
          <w:p>
            <w:pPr>
              <w:ind w:left="1380"/>
              <w:spacing w:after="0"/>
              <w:rPr>
                <w:sz w:val="20"/>
                <w:szCs w:val="20"/>
                <w:color w:val="auto"/>
              </w:rPr>
            </w:pPr>
            <w:r>
              <w:rPr>
                <w:rFonts w:ascii="Wingdings" w:cs="Wingdings" w:eastAsia="Wingdings" w:hAnsi="Wingdings"/>
                <w:sz w:val="13"/>
                <w:szCs w:val="13"/>
                <w:b w:val="1"/>
                <w:bCs w:val="1"/>
                <w:color w:val="auto"/>
              </w:rPr>
              <w:t>o</w:t>
            </w:r>
          </w:p>
        </w:tc>
        <w:tc>
          <w:tcPr>
            <w:tcW w:w="34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Accelerated filer</w:t>
            </w:r>
          </w:p>
        </w:tc>
        <w:tc>
          <w:tcPr>
            <w:tcW w:w="1500" w:type="dxa"/>
            <w:vAlign w:val="bottom"/>
          </w:tcPr>
          <w:p>
            <w:pPr>
              <w:ind w:left="1380"/>
              <w:spacing w:after="0"/>
              <w:rPr>
                <w:sz w:val="20"/>
                <w:szCs w:val="20"/>
                <w:color w:val="auto"/>
              </w:rPr>
            </w:pPr>
            <w:r>
              <w:rPr>
                <w:rFonts w:ascii="Wingdings" w:cs="Wingdings" w:eastAsia="Wingdings" w:hAnsi="Wingdings"/>
                <w:sz w:val="13"/>
                <w:szCs w:val="13"/>
                <w:b w:val="1"/>
                <w:bCs w:val="1"/>
                <w:color w:val="auto"/>
                <w:w w:val="85"/>
              </w:rPr>
              <w:t>o</w:t>
            </w: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Non-accelerated filer</w:t>
            </w:r>
          </w:p>
        </w:tc>
        <w:tc>
          <w:tcPr>
            <w:tcW w:w="2180" w:type="dxa"/>
            <w:vAlign w:val="bottom"/>
          </w:tcPr>
          <w:p>
            <w:pPr>
              <w:ind w:left="1380"/>
              <w:spacing w:after="0"/>
              <w:rPr>
                <w:sz w:val="20"/>
                <w:szCs w:val="20"/>
                <w:color w:val="auto"/>
              </w:rPr>
            </w:pPr>
            <w:r>
              <w:rPr>
                <w:rFonts w:ascii="Wingdings" w:cs="Wingdings" w:eastAsia="Wingdings" w:hAnsi="Wingdings"/>
                <w:sz w:val="13"/>
                <w:szCs w:val="13"/>
                <w:b w:val="1"/>
                <w:bCs w:val="1"/>
                <w:color w:val="auto"/>
              </w:rPr>
              <w:t>x</w:t>
            </w:r>
          </w:p>
        </w:tc>
        <w:tc>
          <w:tcPr>
            <w:tcW w:w="34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500" w:type="dxa"/>
            <w:vAlign w:val="bottom"/>
          </w:tcPr>
          <w:p>
            <w:pPr>
              <w:ind w:left="1380"/>
              <w:spacing w:after="0"/>
              <w:rPr>
                <w:sz w:val="20"/>
                <w:szCs w:val="20"/>
                <w:color w:val="auto"/>
              </w:rPr>
            </w:pPr>
            <w:r>
              <w:rPr>
                <w:rFonts w:ascii="Wingdings" w:cs="Wingdings" w:eastAsia="Wingdings" w:hAnsi="Wingdings"/>
                <w:sz w:val="13"/>
                <w:szCs w:val="13"/>
                <w:b w:val="1"/>
                <w:bCs w:val="1"/>
                <w:color w:val="auto"/>
                <w:w w:val="85"/>
              </w:rPr>
              <w:t>o</w:t>
            </w:r>
          </w:p>
        </w:tc>
      </w:tr>
      <w:tr>
        <w:trPr>
          <w:trHeight w:val="203"/>
        </w:trPr>
        <w:tc>
          <w:tcPr>
            <w:tcW w:w="27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4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Emerging growth company</w:t>
            </w:r>
          </w:p>
        </w:tc>
        <w:tc>
          <w:tcPr>
            <w:tcW w:w="1500" w:type="dxa"/>
            <w:vAlign w:val="bottom"/>
          </w:tcPr>
          <w:p>
            <w:pPr>
              <w:ind w:left="1380"/>
              <w:spacing w:after="0"/>
              <w:rPr>
                <w:sz w:val="20"/>
                <w:szCs w:val="20"/>
                <w:color w:val="auto"/>
              </w:rPr>
            </w:pPr>
            <w:r>
              <w:rPr>
                <w:rFonts w:ascii="Wingdings" w:cs="Wingdings" w:eastAsia="Wingdings" w:hAnsi="Wingdings"/>
                <w:sz w:val="13"/>
                <w:szCs w:val="13"/>
                <w:b w:val="1"/>
                <w:bCs w:val="1"/>
                <w:color w:val="auto"/>
                <w:w w:val="85"/>
              </w:rPr>
              <w:t>o</w:t>
            </w:r>
          </w:p>
        </w:tc>
      </w:tr>
    </w:tbl>
    <w:p>
      <w:pPr>
        <w:spacing w:after="0" w:line="92" w:lineRule="exact"/>
        <w:rPr>
          <w:sz w:val="24"/>
          <w:szCs w:val="24"/>
          <w:color w:val="auto"/>
        </w:rPr>
      </w:pPr>
    </w:p>
    <w:p>
      <w:pPr>
        <w:ind w:right="260" w:firstLine="648"/>
        <w:spacing w:after="0" w:line="229"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25" w:lineRule="exact"/>
        <w:rPr>
          <w:sz w:val="24"/>
          <w:szCs w:val="24"/>
          <w:color w:val="auto"/>
        </w:rPr>
      </w:pPr>
    </w:p>
    <w:p>
      <w:pPr>
        <w:ind w:right="100" w:firstLine="648"/>
        <w:spacing w:after="0" w:line="229"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3"/>
          <w:szCs w:val="13"/>
          <w:b w:val="1"/>
          <w:bCs w:val="1"/>
          <w:color w:val="auto"/>
        </w:rPr>
        <w:t>x</w:t>
      </w:r>
    </w:p>
    <w:p>
      <w:pPr>
        <w:spacing w:after="0" w:line="12" w:lineRule="exact"/>
        <w:rPr>
          <w:sz w:val="24"/>
          <w:szCs w:val="24"/>
          <w:color w:val="auto"/>
        </w:rPr>
      </w:pPr>
    </w:p>
    <w:p>
      <w:pPr>
        <w:ind w:right="300" w:firstLine="648"/>
        <w:spacing w:after="0"/>
        <w:rPr>
          <w:sz w:val="20"/>
          <w:szCs w:val="20"/>
          <w:color w:val="auto"/>
        </w:rPr>
      </w:pPr>
      <w:r>
        <w:rPr>
          <w:rFonts w:ascii="Times New Roman" w:cs="Times New Roman" w:eastAsia="Times New Roman" w:hAnsi="Times New Roman"/>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234" w:lineRule="auto"/>
        <w:rPr>
          <w:sz w:val="20"/>
          <w:szCs w:val="20"/>
          <w:color w:val="auto"/>
        </w:rPr>
      </w:pPr>
      <w:r>
        <w:rPr>
          <w:rFonts w:ascii="Times New Roman" w:cs="Times New Roman" w:eastAsia="Times New Roman" w:hAnsi="Times New Roman"/>
          <w:sz w:val="13"/>
          <w:szCs w:val="13"/>
          <w:color w:val="auto"/>
        </w:rPr>
        <w:t xml:space="preserve">Host Hotels &amp; Resorts, Inc. </w:t>
      </w:r>
      <w:r>
        <w:rPr>
          <w:rFonts w:ascii="Wingdings" w:cs="Wingdings" w:eastAsia="Wingdings" w:hAnsi="Wingdings"/>
          <w:sz w:val="13"/>
          <w:szCs w:val="13"/>
          <w:b w:val="1"/>
          <w:bCs w:val="1"/>
          <w:color w:val="auto"/>
        </w:rPr>
        <w:t>o</w:t>
      </w:r>
    </w:p>
    <w:p>
      <w:pPr>
        <w:spacing w:after="0"/>
        <w:rPr>
          <w:sz w:val="20"/>
          <w:szCs w:val="20"/>
          <w:color w:val="auto"/>
        </w:rPr>
      </w:pPr>
      <w:r>
        <w:rPr>
          <w:rFonts w:ascii="Times New Roman" w:cs="Times New Roman" w:eastAsia="Times New Roman" w:hAnsi="Times New Roman"/>
          <w:sz w:val="13"/>
          <w:szCs w:val="13"/>
          <w:color w:val="auto"/>
        </w:rPr>
        <w:t xml:space="preserve">Host Hotels &amp; Resorts, L.P. </w:t>
      </w:r>
      <w:r>
        <w:rPr>
          <w:rFonts w:ascii="Wingdings" w:cs="Wingdings" w:eastAsia="Wingdings" w:hAnsi="Wingdings"/>
          <w:sz w:val="13"/>
          <w:szCs w:val="13"/>
          <w:b w:val="1"/>
          <w:bCs w:val="1"/>
          <w:color w:val="auto"/>
        </w:rPr>
        <w:t>o</w:t>
      </w:r>
    </w:p>
    <w:p>
      <w:pPr>
        <w:spacing w:after="0" w:line="27" w:lineRule="exact"/>
        <w:rPr>
          <w:sz w:val="24"/>
          <w:szCs w:val="24"/>
          <w:color w:val="auto"/>
        </w:rPr>
      </w:pPr>
    </w:p>
    <w:p>
      <w:pPr>
        <w:ind w:right="40" w:firstLine="648"/>
        <w:spacing w:after="0" w:line="229" w:lineRule="auto"/>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234" w:lineRule="auto"/>
        <w:rPr>
          <w:sz w:val="20"/>
          <w:szCs w:val="20"/>
          <w:color w:val="auto"/>
        </w:rPr>
      </w:pPr>
      <w:r>
        <w:rPr>
          <w:rFonts w:ascii="Times New Roman" w:cs="Times New Roman" w:eastAsia="Times New Roman" w:hAnsi="Times New Roman"/>
          <w:sz w:val="13"/>
          <w:szCs w:val="13"/>
          <w:color w:val="auto"/>
        </w:rPr>
        <w:t xml:space="preserve">Host Hotels &amp; Resorts, Inc. </w:t>
      </w:r>
      <w:r>
        <w:rPr>
          <w:rFonts w:ascii="Wingdings" w:cs="Wingdings" w:eastAsia="Wingdings" w:hAnsi="Wingdings"/>
          <w:sz w:val="13"/>
          <w:szCs w:val="13"/>
          <w:b w:val="1"/>
          <w:bCs w:val="1"/>
          <w:color w:val="auto"/>
        </w:rPr>
        <w:t>o</w:t>
      </w:r>
    </w:p>
    <w:p>
      <w:pPr>
        <w:spacing w:after="0"/>
        <w:rPr>
          <w:sz w:val="20"/>
          <w:szCs w:val="20"/>
          <w:color w:val="auto"/>
        </w:rPr>
      </w:pPr>
      <w:r>
        <w:rPr>
          <w:rFonts w:ascii="Times New Roman" w:cs="Times New Roman" w:eastAsia="Times New Roman" w:hAnsi="Times New Roman"/>
          <w:sz w:val="13"/>
          <w:szCs w:val="13"/>
          <w:color w:val="auto"/>
        </w:rPr>
        <w:t xml:space="preserve">Host Hotels &amp; Resorts, L.P. </w:t>
      </w:r>
      <w:r>
        <w:rPr>
          <w:rFonts w:ascii="Wingdings" w:cs="Wingdings" w:eastAsia="Wingdings" w:hAnsi="Wingdings"/>
          <w:sz w:val="13"/>
          <w:szCs w:val="13"/>
          <w:b w:val="1"/>
          <w:bCs w:val="1"/>
          <w:color w:val="auto"/>
        </w:rPr>
        <w:t>o</w:t>
      </w:r>
    </w:p>
    <w:p>
      <w:pPr>
        <w:spacing w:after="0" w:line="2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r>
    </w:p>
    <w:p>
      <w:pPr>
        <w:spacing w:after="0" w:line="11" w:lineRule="exact"/>
        <w:rPr>
          <w:sz w:val="24"/>
          <w:szCs w:val="24"/>
          <w:color w:val="auto"/>
        </w:rPr>
      </w:pPr>
    </w:p>
    <w:p>
      <w:pPr>
        <w:spacing w:after="0"/>
        <w:tabs>
          <w:tab w:leader="none" w:pos="1500" w:val="left"/>
          <w:tab w:leader="none" w:pos="1960" w:val="left"/>
        </w:tabs>
        <w:rPr>
          <w:sz w:val="20"/>
          <w:szCs w:val="20"/>
          <w:color w:val="auto"/>
        </w:rPr>
      </w:pPr>
      <w:r>
        <w:rPr>
          <w:rFonts w:ascii="Times New Roman" w:cs="Times New Roman" w:eastAsia="Times New Roman" w:hAnsi="Times New Roman"/>
          <w:sz w:val="13"/>
          <w:szCs w:val="13"/>
          <w:color w:val="auto"/>
        </w:rPr>
        <w:t>Host Hotels &amp; Resorts, Inc.</w:t>
        <w:tab/>
        <w:t xml:space="preserve">Yes </w:t>
      </w:r>
      <w:r>
        <w:rPr>
          <w:rFonts w:ascii="Wingdings" w:cs="Wingdings" w:eastAsia="Wingdings" w:hAnsi="Wingdings"/>
          <w:sz w:val="13"/>
          <w:szCs w:val="13"/>
          <w:b w:val="1"/>
          <w:bCs w:val="1"/>
          <w:color w:val="auto"/>
        </w:rPr>
        <w:t>o</w:t>
      </w:r>
      <w:r>
        <w:rPr>
          <w:sz w:val="20"/>
          <w:szCs w:val="20"/>
          <w:color w:val="auto"/>
        </w:rPr>
        <w:tab/>
      </w:r>
      <w:r>
        <w:rPr>
          <w:rFonts w:ascii="Times New Roman" w:cs="Times New Roman" w:eastAsia="Times New Roman" w:hAnsi="Times New Roman"/>
          <w:sz w:val="12"/>
          <w:szCs w:val="12"/>
          <w:color w:val="auto"/>
        </w:rPr>
        <w:t xml:space="preserve">No </w:t>
      </w:r>
      <w:r>
        <w:rPr>
          <w:rFonts w:ascii="Wingdings" w:cs="Wingdings" w:eastAsia="Wingdings" w:hAnsi="Wingdings"/>
          <w:sz w:val="12"/>
          <w:szCs w:val="12"/>
          <w:b w:val="1"/>
          <w:bCs w:val="1"/>
          <w:color w:val="auto"/>
        </w:rPr>
        <w:t>x</w:t>
      </w:r>
    </w:p>
    <w:p>
      <w:pPr>
        <w:spacing w:after="0"/>
        <w:tabs>
          <w:tab w:leader="none" w:pos="1500" w:val="left"/>
          <w:tab w:leader="none" w:pos="1960" w:val="left"/>
        </w:tabs>
        <w:rPr>
          <w:sz w:val="20"/>
          <w:szCs w:val="20"/>
          <w:color w:val="auto"/>
        </w:rPr>
      </w:pPr>
      <w:r>
        <w:rPr>
          <w:rFonts w:ascii="Times New Roman" w:cs="Times New Roman" w:eastAsia="Times New Roman" w:hAnsi="Times New Roman"/>
          <w:sz w:val="13"/>
          <w:szCs w:val="13"/>
          <w:color w:val="auto"/>
        </w:rPr>
        <w:t>Host Hotels &amp; Resorts, L.P.</w:t>
        <w:tab/>
        <w:t xml:space="preserve">Yes </w:t>
      </w:r>
      <w:r>
        <w:rPr>
          <w:rFonts w:ascii="Wingdings" w:cs="Wingdings" w:eastAsia="Wingdings" w:hAnsi="Wingdings"/>
          <w:sz w:val="13"/>
          <w:szCs w:val="13"/>
          <w:b w:val="1"/>
          <w:bCs w:val="1"/>
          <w:color w:val="auto"/>
        </w:rPr>
        <w:t>o</w:t>
      </w:r>
      <w:r>
        <w:rPr>
          <w:sz w:val="20"/>
          <w:szCs w:val="20"/>
          <w:color w:val="auto"/>
        </w:rPr>
        <w:tab/>
      </w:r>
      <w:r>
        <w:rPr>
          <w:rFonts w:ascii="Times New Roman" w:cs="Times New Roman" w:eastAsia="Times New Roman" w:hAnsi="Times New Roman"/>
          <w:sz w:val="12"/>
          <w:szCs w:val="12"/>
          <w:color w:val="auto"/>
        </w:rPr>
        <w:t xml:space="preserve">No </w:t>
      </w:r>
      <w:r>
        <w:rPr>
          <w:rFonts w:ascii="Wingdings" w:cs="Wingdings" w:eastAsia="Wingdings" w:hAnsi="Wingdings"/>
          <w:sz w:val="12"/>
          <w:szCs w:val="12"/>
          <w:b w:val="1"/>
          <w:bCs w:val="1"/>
          <w:color w:val="auto"/>
        </w:rPr>
        <w:t>x</w:t>
      </w:r>
    </w:p>
    <w:p>
      <w:pPr>
        <w:spacing w:after="0" w:line="2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2"/>
          <w:szCs w:val="12"/>
          <w:color w:val="auto"/>
        </w:rPr>
        <w:t>The aggregate market value of common shares held by non-affiliates of Host Hotels &amp; Resorts, Inc. (based on the closing sale price on the NASDAQ Stock Market) on June 30, 2025 was $10,405,713,884.</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28" w:lineRule="exact"/>
        <w:rPr>
          <w:sz w:val="24"/>
          <w:szCs w:val="24"/>
          <w:color w:val="auto"/>
        </w:rPr>
      </w:pPr>
    </w:p>
    <w:p>
      <w:pPr>
        <w:ind w:firstLine="648"/>
        <w:spacing w:after="0"/>
        <w:rPr>
          <w:sz w:val="20"/>
          <w:szCs w:val="20"/>
          <w:color w:val="auto"/>
        </w:rPr>
      </w:pPr>
      <w:r>
        <w:rPr>
          <w:rFonts w:ascii="Times New Roman" w:cs="Times New Roman" w:eastAsia="Times New Roman" w:hAnsi="Times New Roman"/>
          <w:sz w:val="13"/>
          <w:szCs w:val="13"/>
          <w:color w:val="auto"/>
        </w:rPr>
        <w:t>Portions of Host Hotels &amp; Resorts, Inc.’s definitive proxy statement to be filed with the Securities and Exchange Commission and delivered to stockholders in connection with its annual meeting of stockholders to be held on May 20, 2026 are incorporated by reference into Part III of this Form 10-K.</w:t>
      </w:r>
    </w:p>
    <w:p>
      <w:pPr>
        <w:sectPr>
          <w:pgSz w:w="11900" w:h="16838" w:orient="portrait"/>
          <w:cols w:equalWidth="0" w:num="1">
            <w:col w:w="11240"/>
          </w:cols>
          <w:pgMar w:left="320" w:top="229" w:right="339" w:bottom="1440" w:gutter="0" w:footer="0" w:header="0"/>
          <w:type w:val="continuous"/>
        </w:sectPr>
      </w:pPr>
    </w:p>
    <w:p>
      <w:pPr>
        <w:spacing w:after="0" w:line="241" w:lineRule="exact"/>
        <w:rPr>
          <w:sz w:val="24"/>
          <w:szCs w:val="24"/>
          <w:color w:val="auto"/>
        </w:rPr>
      </w:pPr>
    </w:p>
    <w:p>
      <w:pPr>
        <w:ind w:left="1900"/>
        <w:spacing w:after="0"/>
        <w:tabs>
          <w:tab w:leader="none" w:pos="4800" w:val="left"/>
          <w:tab w:leader="none" w:pos="8100" w:val="left"/>
        </w:tabs>
        <w:rPr>
          <w:sz w:val="20"/>
          <w:szCs w:val="20"/>
          <w:color w:val="auto"/>
        </w:rPr>
      </w:pPr>
      <w:r>
        <w:rPr>
          <w:rFonts w:ascii="Times New Roman" w:cs="Times New Roman" w:eastAsia="Times New Roman" w:hAnsi="Times New Roman"/>
          <w:sz w:val="13"/>
          <w:szCs w:val="13"/>
          <w:color w:val="auto"/>
        </w:rPr>
        <w:t>Auditor Name: KPMG LLP</w:t>
      </w:r>
      <w:r>
        <w:rPr>
          <w:sz w:val="20"/>
          <w:szCs w:val="20"/>
          <w:color w:val="auto"/>
        </w:rPr>
        <w:tab/>
      </w:r>
      <w:r>
        <w:rPr>
          <w:rFonts w:ascii="Times New Roman" w:cs="Times New Roman" w:eastAsia="Times New Roman" w:hAnsi="Times New Roman"/>
          <w:sz w:val="13"/>
          <w:szCs w:val="13"/>
          <w:color w:val="auto"/>
        </w:rPr>
        <w:t>Auditor Location: McLean, VA</w:t>
      </w:r>
      <w:r>
        <w:rPr>
          <w:sz w:val="20"/>
          <w:szCs w:val="20"/>
          <w:color w:val="auto"/>
        </w:rPr>
        <w:tab/>
      </w:r>
      <w:r>
        <w:rPr>
          <w:rFonts w:ascii="Times New Roman" w:cs="Times New Roman" w:eastAsia="Times New Roman" w:hAnsi="Times New Roman"/>
          <w:sz w:val="12"/>
          <w:szCs w:val="12"/>
          <w:color w:val="auto"/>
        </w:rPr>
        <w:t>Audit Firm ID: 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This report combines the annual reports on Form 10-K for the fiscal year ended December 31, 2025 of Host Hotels &amp; Resorts, Inc. and Host Hotels &amp; Resorts, L.P. Unless stated otherwise or the context otherwise requires, references to “Host Inc.” mean Host Hotels &amp; Resorts, Inc., a Maryland corporation, and references to “Host L.P.” mean Host Hotels &amp; Resorts, L.P., a Delaware limited partnership, and its consolidated subsidiaries. We use the terms “we” or “our” or “the company” to refer to Host Inc. and Host L.P. together, unless the context indicates otherwise. We use the term Host Inc. to specifically refer to Host Hotels &amp; Resorts, Inc. and the term Host L.P. to specifically refer to Host Hotels &amp; Resorts, L.P. (and its consolidated subsidiaries) in cases where it is important to distinguish between Host Inc. and Host L.P. Host Inc. owns properties and conducts operations through Host L.P., of which Host Inc. is the sole general partner and of which it holds approximately 99% of the partnership interests (“OP units”) as of December 31, 2025. The remaining partnership interests are owned by various unaffiliated limited partners. As the sole general partner of Host L.P., Host Inc. has the exclusive and complete responsibility for Host L.P.’s day-to-day management and control.</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 believe combining the annual reports on Form 10-K of Host Inc. and Host L.P. into this single report results in the following benefits:</w:t>
      </w:r>
    </w:p>
    <w:p>
      <w:pPr>
        <w:spacing w:after="0" w:line="117" w:lineRule="exact"/>
        <w:rPr>
          <w:sz w:val="20"/>
          <w:szCs w:val="20"/>
          <w:color w:val="auto"/>
        </w:rPr>
      </w:pPr>
    </w:p>
    <w:p>
      <w:pPr>
        <w:ind w:left="1300" w:right="2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investors’ understanding of Host Inc. and Host L.P. by enabling investors to view the business as a whole in the same manner as management views and operates the business;</w:t>
      </w:r>
    </w:p>
    <w:p>
      <w:pPr>
        <w:spacing w:after="0" w:line="53"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duplicative disclosure and provides a more streamlined presentation, since a substantial portion of our disclosure applies to both Host Inc. and Host L.P.; and</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time and cost efficiencies through the preparation of one combined report instead of two separate reports.</w:t>
      </w:r>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Management operates Host Inc. and Host L.P. as one enterprise. The management of Host Inc. consists of the same members who direct the management of Host L.P. The executive officers of Host Inc. are appointed by Host Inc.’s board of directors, but are employed by Host L.P. Host L.P. employs everyone who works for Host Inc. or Host L.P. As general partner with control of Host L.P., Host Inc. consolidates Host L.P. for financial reporting purposes, and Host Inc. does not have significant assets other than its investment in Host L.P. Therefore, the assets and liabilities of Host Inc. and Host L.P. are the same on their respective financial statements.</w:t>
      </w:r>
    </w:p>
    <w:p>
      <w:pPr>
        <w:spacing w:after="0" w:line="18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There are a few differences between Host Inc. and Host L.P., which are reflected in the disclosure in this report. We believe it is important to understand the differences between Host Inc. and Host L.P. in the context of how Host Inc. and Host L.P. operate as an interrelated consolidated company. Host Inc. is a real estate investment trust, or REIT, and its only material asset is its ownership of partnership interests of Host L.P. As a result, Host Inc. does not conduct business itself, other than acting as the sole general partner of Host L.P., and issuing public equity from time to time, the proceeds of which are contributed to Host L.P. in exchange for OP units. Host Inc. itself does not issue any indebtedness and does not guarantee the debt or obligations of Host L.P. Host L.P. holds substantially all of our assets and holds the ownership interests in our joint ventures. Host L.P. conducts the operations of the business and is structured as a limited partnership with no publicly traded equity. Except for net proceeds from public equity issuances by Host Inc., Host L.P. generates the capital required by our business through Host L.P.’s operations, by Host L.P.’s direct or indirect incurrence of indebtedness, or through the issuance of OP units.</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substantive difference between the filings of Host Inc. and Host L.P. is that Host Inc. is a REIT with public stock, while Host L.P. is a partnership with no publicly traded equity. In the financial statements, this difference primarily is reflected in the equity (or partners’ capital for Host L.P.) section of the consolidated balance sheets and in the consolidated statements of equity (or partners’ capital) and in the consolidated statements of operations and comprehensive income with respect to the manner in which income is allocated to non-controlling interests. Income allocable to the holders of approximately 1% of the OP units is reflected as income allocable to non-controlling interests at Host Inc. and within net income at Host L.P. Also, earnings per share generally will be slightly less than the earnings per OP unit, as each Host Inc. common share is the equivalent of 0.97895 OP units (instead of 1 OP unit). Apart from these differences, the financial statements of Host Inc. and Host L.P. are nearly identical.</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To help investors understand the differences between Host Inc. and Host L.P., this report presents the following separate sections or portions of sections for each of Host Inc. and Host L.P.:</w:t>
      </w:r>
    </w:p>
    <w:p>
      <w:pPr>
        <w:spacing w:after="0" w:line="54" w:lineRule="exact"/>
        <w:rPr>
          <w:sz w:val="20"/>
          <w:szCs w:val="20"/>
          <w:color w:val="auto"/>
        </w:rPr>
      </w:pPr>
    </w:p>
    <w:p>
      <w:pPr>
        <w:ind w:left="1300" w:right="120" w:hanging="644"/>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II Item 5 - Market for Registrant’s Common Stock, Related Stockholder Matters and Issuer Purchases of Equity Securities for Host Inc. / Market for Registrant’s Common Units, Related Unitholder Matters and Issuer Purchases of Equity Securities for Host L.P.;</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II Item 7 - Management’s Discussion and Analysis of Financial Condition and Results of Operations is combined, except for a separate discussion of material differences, if any, in the liquidity and capital resources between Host Inc. and Host L.P.;</w:t>
      </w:r>
    </w:p>
    <w:p>
      <w:pPr>
        <w:spacing w:after="0" w:line="53"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II Item 7A - Quantitative and Qualitative Disclosures about Market Risk is combined, except for separate discussions of material differences, if any, between Host Inc. and Host L.P.;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II Item 8 - Financial Statements and Supplementary Data. While the financial statements themselves are presented separately, the notes to the financial statements generally are combined, except for separate discussions of differences between equity of Host Inc. and capital of Host L.P.</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This report also includes separate Item 9A. Controls and Procedures sections and separate Exhibit 31 and 32 certifications for each of Host Inc. and Host L.P. in order to establish that the Chief Executive Officer and the Chief Financial Officer of Host Inc. and the Chief Executive Officer and the Chief Financial Officer of Host Inc. as the general partner of Host L.P. have made the requisite certifications and that Host Inc. and Host L.P. are compliant with Rule 13a-15 or Rule 15d-15 of the Securities Exchange Act of 1934, as amended (the "Exchange Act"), and 18 U.S.C. §1350.</w:t>
      </w: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AND HOST HOTELS &amp; RESORTS, L.P.</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80" w:type="dxa"/>
            <w:vAlign w:val="bottom"/>
            <w:gridSpan w:val="10"/>
            <w:vMerge w:val="restart"/>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80" w:type="dxa"/>
            <w:vAlign w:val="bottom"/>
            <w:gridSpan w:val="10"/>
            <w:vMerge w:val="continue"/>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7860" w:type="dxa"/>
            <w:vAlign w:val="bottom"/>
            <w:gridSpan w:val="22"/>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460" w:type="dxa"/>
            <w:vAlign w:val="bottom"/>
            <w:gridSpan w:val="13"/>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500" w:type="dxa"/>
            <w:vAlign w:val="bottom"/>
            <w:gridSpan w:val="19"/>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160" w:type="dxa"/>
            <w:vAlign w:val="bottom"/>
            <w:gridSpan w:val="17"/>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547"/>
        </w:trPr>
        <w:tc>
          <w:tcPr>
            <w:tcW w:w="13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8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Part II</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Registrant’s Common Stock, Related Stockholder Matters and Issuer Purchases of Equity Securities for</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66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3"/>
              </w:rPr>
              <w:t>Host Inc.</w:t>
            </w:r>
          </w:p>
        </w:tc>
        <w:tc>
          <w:tcPr>
            <w:tcW w:w="7600" w:type="dxa"/>
            <w:vAlign w:val="bottom"/>
            <w:tcBorders>
              <w:top w:val="single" w:sz="8" w:color="0000FF"/>
            </w:tcBorders>
            <w:gridSpan w:val="19"/>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60" w:type="dxa"/>
            <w:vAlign w:val="bottom"/>
          </w:tcPr>
          <w:p>
            <w:pPr>
              <w:spacing w:after="0"/>
              <w:rPr>
                <w:sz w:val="21"/>
                <w:szCs w:val="21"/>
                <w:color w:val="auto"/>
              </w:rPr>
            </w:pP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Registrant’s Common Units, Related Unitholder Matters and Issuer Purchases of Equity Securities for</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8160" w:type="dxa"/>
            <w:vAlign w:val="bottom"/>
            <w:tcBorders>
              <w:top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Host L.P.</w:t>
            </w:r>
          </w:p>
        </w:tc>
        <w:tc>
          <w:tcPr>
            <w:tcW w:w="2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Reserved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040" w:type="dxa"/>
            <w:vAlign w:val="bottom"/>
            <w:gridSpan w:val="5"/>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200" w:type="dxa"/>
            <w:vAlign w:val="bottom"/>
            <w:gridSpan w:val="8"/>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020" w:type="dxa"/>
            <w:vAlign w:val="bottom"/>
            <w:gridSpan w:val="4"/>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0"/>
                <w:szCs w:val="20"/>
                <w:color w:val="auto"/>
              </w:rPr>
            </w:pPr>
          </w:p>
        </w:tc>
        <w:tc>
          <w:tcPr>
            <w:tcW w:w="6740" w:type="dxa"/>
            <w:vAlign w:val="bottom"/>
            <w:gridSpan w:val="15"/>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600" w:type="dxa"/>
            <w:vAlign w:val="bottom"/>
            <w:gridSpan w:val="7"/>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547"/>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8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5"/>
          </w:tcPr>
          <w:p>
            <w:pPr>
              <w:spacing w:after="0"/>
              <w:rPr>
                <w:sz w:val="20"/>
                <w:szCs w:val="20"/>
                <w:color w:val="auto"/>
              </w:rPr>
            </w:pPr>
          </w:p>
        </w:tc>
        <w:tc>
          <w:tcPr>
            <w:tcW w:w="4420" w:type="dxa"/>
            <w:vAlign w:val="bottom"/>
            <w:gridSpan w:val="9"/>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84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and Unitholder Matters</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060" w:type="dxa"/>
            <w:vAlign w:val="bottom"/>
            <w:gridSpan w:val="6"/>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547"/>
        </w:trPr>
        <w:tc>
          <w:tcPr>
            <w:tcW w:w="13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80" w:type="dxa"/>
            <w:vAlign w:val="bottom"/>
            <w:gridSpan w:val="10"/>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340" w:type="dxa"/>
            <w:vAlign w:val="bottom"/>
            <w:gridSpan w:val="11"/>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8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disclosure and analysis in this 2025 Annual Report on Form 10-K and in Host Inc.’s 2025 Annual Report to Stockholders contain some forward-looking statements that set forth anticipated results based on management’s plans and assumptions. From time to time, we also provide forward-looking statements in other materials we release to the public. Such statements give our current expectations or forecasts of future events; they do not relate strictly to historical or current facts. We have tried, wherever possible, to identify each such statement by using words such as “anticipate,” “estimate,” “expect,” “project,” “intend,” “plan,” “believe,” “will,” “target,” “forecast” and similar expressions in connection with any discussion of future operating or financial performance. In particular, these forward-looking statements include those relating to future actions, future acquisitions or dispositions, future capital expenditures plans, future performance or results of current and anticipated expenses, interest rates, foreign exchange rates or the outcome of contingencies, such as legal proceedings or insurance gains/losses.</w:t>
      </w:r>
    </w:p>
    <w:p>
      <w:pPr>
        <w:spacing w:after="0" w:line="19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cannot guarantee that any future results discussed in any forward-looking statements will be realized, although we believe that we have been prudent in our plans and assumptions. Achievement of future results is subject to risks, uncertainties and potentially inaccurate assumptions, including those discussed in Item 1A. “Risk Factors.” Should known or unknown risks or uncertainties materialize, or should underlying assumptions prove inaccurate, actual results could differ materially from past results and those results anticipated, estimated or projected. You should bear this in mind as you consider forward-looking statements.</w:t>
      </w:r>
    </w:p>
    <w:p>
      <w:pPr>
        <w:spacing w:after="0" w:line="183"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undertake no obligation to publicly update forward-looking statements, whether because of new information, future events or otherwise. You are advised, however, to consult any additional disclosures we make or related subjects in our reports on Form 10-Q and Form 8-K that we file with the Securities and Exchange Commission (“SEC”). Also note that, in our risk factors, we provide a cautionary discussion of risks, uncertainties and possibly inaccurate assumptions relevant to our business. These are factors that, individually or in the aggregate, we believe could cause our actual results to differ materially from past results and those results anticipated, estimated or projected. We note these factors for investors as permitted by the Private Securities Litigation Reform Act of 1995. It is not possible to predict or identify all such risk factors. Consequently, you should not consider the discussion of risk factors to be a complete discussion of all the potential risks or uncertainties that could affect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are the largest publicly traded lodging REIT, with a geographically diverse portfolio of luxury and upper-upscale hotels. As of February 20, 2026, our consolidated lodging portfolio consists of 76 primarily luxury and upper-upscale hotels containing approximately 41,700 rooms, with substantially all located in the United States (five of the hotels are located outside of the U.S. in Brazil and Canada). In addition, we own non-controlling interests in seven domestic joint ventures that focus on the lodging industry, see " - Other Real Estate Interests" for a further description.</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Host Inc. was incorporated as a Maryland corporation in 1998 and operates as a self-managed and self-administered REIT. Host Inc. owns hotels and conducts operations through Host L.P., of which Host Inc. is the sole general partner and of which it holds approximately 99% of the partnership interests (“OP units”) as of December 31, 2025. The remaining partnership interests are owned by various unaffiliated limited partners. Host Inc. has the exclusive and complete responsibility for Host L.P.’s day-to-day management and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goal is to be the preeminent owner of high-quality lodging real estate in growing markets in the U.S. and to generate superior long-term risk adjusted returns for our stockholders throughout all phases of the lodging cycle through a combination of appreciation in asset values, growth in earnings and the payment of dividends. The pillars of our strategy to achieve this objective and elevate our growth profile include:</w:t>
      </w:r>
    </w:p>
    <w:p>
      <w:pPr>
        <w:spacing w:after="0" w:line="174" w:lineRule="exact"/>
        <w:rPr>
          <w:sz w:val="20"/>
          <w:szCs w:val="20"/>
          <w:color w:val="auto"/>
        </w:rPr>
      </w:pPr>
    </w:p>
    <w:p>
      <w:pPr>
        <w:ind w:left="1300" w:hanging="644"/>
        <w:spacing w:after="0" w:line="267"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Geographically diverse portfolio of hotels in the U.S. </w:t>
      </w:r>
      <w:r>
        <w:rPr>
          <w:rFonts w:ascii="Times New Roman" w:cs="Times New Roman" w:eastAsia="Times New Roman" w:hAnsi="Times New Roman"/>
          <w:sz w:val="18"/>
          <w:szCs w:val="18"/>
          <w:color w:val="auto"/>
        </w:rPr>
        <w:t>- Own a diversified portfolio of hotels in the U.S. in major urban and resort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destinations. Target markets with diverse demand generators, high barriers to entry, favorable supply and demand dynamics and attractive long-term projected RevPAR growth;</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1300" w:right="500" w:hanging="644"/>
        <w:spacing w:after="0" w:line="267"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Strong scale and integrated platform </w:t>
      </w:r>
      <w:r>
        <w:rPr>
          <w:rFonts w:ascii="Times New Roman" w:cs="Times New Roman" w:eastAsia="Times New Roman" w:hAnsi="Times New Roman"/>
          <w:sz w:val="18"/>
          <w:szCs w:val="18"/>
          <w:color w:val="auto"/>
        </w:rPr>
        <w:t>- Utilize our scale to create value through enterprise analytics, asset management and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initiatives, while aiding external growth by leveraging scale as a competitive advantage to acquire assets befitting our strategy. Allocate and recycle capital to seek returns that exceed our cost of capital and actively return capital to stockholders;</w:t>
      </w:r>
    </w:p>
    <w:p>
      <w:pPr>
        <w:spacing w:after="0" w:line="173" w:lineRule="exact"/>
        <w:rPr>
          <w:rFonts w:ascii="Times New Roman" w:cs="Times New Roman" w:eastAsia="Times New Roman" w:hAnsi="Times New Roman"/>
          <w:sz w:val="18"/>
          <w:szCs w:val="18"/>
          <w:color w:val="auto"/>
        </w:rPr>
      </w:pPr>
    </w:p>
    <w:p>
      <w:pPr>
        <w:ind w:left="1300" w:right="300" w:hanging="644"/>
        <w:spacing w:after="0" w:line="284"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grade balance sheet </w:t>
      </w:r>
      <w:r>
        <w:rPr>
          <w:rFonts w:ascii="Times New Roman" w:cs="Times New Roman" w:eastAsia="Times New Roman" w:hAnsi="Times New Roman"/>
          <w:sz w:val="18"/>
          <w:szCs w:val="18"/>
          <w:color w:val="auto"/>
        </w:rPr>
        <w:t>- Maintain a strong and flexible capital structure that allows us to execute our strategy throughout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phases of the lodging cycle; and</w:t>
      </w:r>
    </w:p>
    <w:p>
      <w:pPr>
        <w:spacing w:after="0" w:line="158" w:lineRule="exact"/>
        <w:rPr>
          <w:rFonts w:ascii="Times New Roman" w:cs="Times New Roman" w:eastAsia="Times New Roman" w:hAnsi="Times New Roman"/>
          <w:sz w:val="18"/>
          <w:szCs w:val="18"/>
          <w:color w:val="auto"/>
        </w:rPr>
      </w:pPr>
    </w:p>
    <w:p>
      <w:pPr>
        <w:ind w:left="1300" w:hanging="644"/>
        <w:spacing w:after="0" w:line="284"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Employer of choice and responsible corporate citizen </w:t>
      </w:r>
      <w:r>
        <w:rPr>
          <w:rFonts w:ascii="Times New Roman" w:cs="Times New Roman" w:eastAsia="Times New Roman" w:hAnsi="Times New Roman"/>
          <w:sz w:val="18"/>
          <w:szCs w:val="18"/>
          <w:color w:val="auto"/>
        </w:rPr>
        <w:t>- Align our organizational structure with our business objectives to be an employer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choice and a responsible corporate citizen.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Geographically Diverse Portfolio</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seek to have a geographically diversified portfolio in major markets and premier resort destinations in the U.S. We primarily focus on acquisitions and, occasionally, new development opportunities to enhance our portfolio. While we have historically targeted acquisitions in the top 25 U.S. markets, we also consider hotels in other markets, which we believe have high growth potential and diverse demand generators. We focus generally on the following types of assets:</w:t>
      </w:r>
    </w:p>
    <w:p>
      <w:pPr>
        <w:spacing w:after="0" w:line="178"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Resorts </w:t>
      </w:r>
      <w:r>
        <w:rPr>
          <w:rFonts w:ascii="Times New Roman" w:cs="Times New Roman" w:eastAsia="Times New Roman" w:hAnsi="Times New Roman"/>
          <w:sz w:val="18"/>
          <w:szCs w:val="18"/>
          <w:color w:val="auto"/>
        </w:rPr>
        <w:t>in destination locations with limited supply growth. These assets feature superior amenities and unique experiential offerings;</w:t>
      </w:r>
    </w:p>
    <w:p>
      <w:pPr>
        <w:spacing w:after="0" w:line="225" w:lineRule="exact"/>
        <w:rPr>
          <w:rFonts w:ascii="Times New Roman" w:cs="Times New Roman" w:eastAsia="Times New Roman" w:hAnsi="Times New Roman"/>
          <w:sz w:val="18"/>
          <w:szCs w:val="18"/>
          <w:color w:val="auto"/>
        </w:rPr>
      </w:pPr>
    </w:p>
    <w:p>
      <w:pPr>
        <w:ind w:left="1300" w:right="540" w:hanging="644"/>
        <w:spacing w:after="0" w:line="284"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Convention destination hotels </w:t>
      </w:r>
      <w:r>
        <w:rPr>
          <w:rFonts w:ascii="Times New Roman" w:cs="Times New Roman" w:eastAsia="Times New Roman" w:hAnsi="Times New Roman"/>
          <w:sz w:val="18"/>
          <w:szCs w:val="18"/>
          <w:color w:val="auto"/>
        </w:rPr>
        <w:t>that are group oriented in urban and resort markets. These assets feature extensive and high-quality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facilities and often are connected to prominent convention centers; and</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High-end urban hotels </w:t>
      </w:r>
      <w:r>
        <w:rPr>
          <w:rFonts w:ascii="Times New Roman" w:cs="Times New Roman" w:eastAsia="Times New Roman" w:hAnsi="Times New Roman"/>
          <w:sz w:val="18"/>
          <w:szCs w:val="18"/>
          <w:color w:val="auto"/>
        </w:rPr>
        <w:t>that are positioned in prime locations and possess multiple demand drivers for both business and leisure travelers.</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one of the largest owners of Marriott and Hyatt hotels, our hotels primarily are operated under brand names that are among the most respected and widely recognized in the lodging industry. Within these brands, we have focused predominantly on the upper-upscale and luxury chain scales, as we believe these have a broad appeal for both individual and group leisure and business customers. In addition, we own several unbranded or soft-branded hotels that appeal to distinctive customer profiles in certain submarkets.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Scale and Integrated Platform</w:t>
      </w:r>
    </w:p>
    <w:p>
      <w:pPr>
        <w:spacing w:after="0" w:line="225" w:lineRule="exact"/>
        <w:rPr>
          <w:sz w:val="20"/>
          <w:szCs w:val="20"/>
          <w:color w:val="auto"/>
        </w:rPr>
      </w:pPr>
    </w:p>
    <w:p>
      <w:pPr>
        <w:ind w:firstLine="72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Enterprise Analytics Platform. </w:t>
      </w:r>
      <w:r>
        <w:rPr>
          <w:rFonts w:ascii="Times New Roman" w:cs="Times New Roman" w:eastAsia="Times New Roman" w:hAnsi="Times New Roman"/>
          <w:sz w:val="18"/>
          <w:szCs w:val="18"/>
          <w:color w:val="auto"/>
        </w:rPr>
        <w:t>Due to the scale of our asset management and business intelligence platform, we believe we are in a unique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 to implement value-added real estate decisions and to assist our managers in improving operating performance and profitability. The size and composition of our portfolio and our affiliation with most of the leading brands and operators in the industry allow our enterprise analytics team to benchmark similar hotels and identify revenue-enhancement opportunities and cost efficiencies that can maximize the operating performance, long-term profitability and value of our real estate. We perform independent underwriting of return on investment (“ROI”) projects and potential acquisitions, as well as revenue management analysis of ancillary revenue opportunities. Our goal is to continue to differentiate our hotels within their competitive markets, drive operating performance and enhance the overall value of our real estate through the following:</w:t>
      </w:r>
    </w:p>
    <w:p>
      <w:pPr>
        <w:spacing w:after="0" w:line="187" w:lineRule="exact"/>
        <w:rPr>
          <w:sz w:val="20"/>
          <w:szCs w:val="20"/>
          <w:color w:val="auto"/>
        </w:rPr>
      </w:pPr>
    </w:p>
    <w:p>
      <w:pPr>
        <w:ind w:left="1300" w:right="20" w:hanging="644"/>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operating performance and profitability by using our business intelligence system to benchmark and monitor hotel performance and cost controls.</w:t>
      </w:r>
    </w:p>
    <w:p>
      <w:pPr>
        <w:spacing w:after="0" w:line="161" w:lineRule="exact"/>
        <w:rPr>
          <w:rFonts w:ascii="Times New Roman" w:cs="Times New Roman" w:eastAsia="Times New Roman" w:hAnsi="Times New Roman"/>
          <w:sz w:val="18"/>
          <w:szCs w:val="18"/>
          <w:color w:val="auto"/>
        </w:rPr>
      </w:pPr>
    </w:p>
    <w:p>
      <w:pPr>
        <w:ind w:left="1300" w:right="360" w:hanging="644"/>
        <w:spacing w:after="0" w:line="26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revenue growth by conducting detailed strategic reviews with our managers on markets and business mix to assist them in developing the appropriate group/transient mix, online presence to address a broad customer base, and market share targets for each hotel.</w:t>
      </w:r>
    </w:p>
    <w:p>
      <w:pPr>
        <w:spacing w:after="0" w:line="175"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leading brands, such as Marriott and Hyatt, to take advantage of their worldwide presence and lodging infrastructure. We also have a selection of hotels managed by independent operators where we believe these operators have more flexibility to drive revenues and control costs to maximize profits.</w:t>
      </w: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right="50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asset value through the extension or purchase of ground leases or the restructuring of management agreements to increase contract flexibility.</w:t>
      </w:r>
    </w:p>
    <w:p>
      <w:pPr>
        <w:spacing w:after="0" w:line="158"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Disciplined Capital Allocation. </w:t>
      </w:r>
      <w:r>
        <w:rPr>
          <w:rFonts w:ascii="Times New Roman" w:cs="Times New Roman" w:eastAsia="Times New Roman" w:hAnsi="Times New Roman"/>
          <w:sz w:val="18"/>
          <w:szCs w:val="18"/>
          <w:color w:val="auto"/>
        </w:rPr>
        <w:t>Guided by a disciplined approach to capital allocation, we are equipped to make investment decisions that seek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 the greatest value and returns to stockholders. Our goal is to allocate capital to enhance and improve our portfolio, while balancing the importance of prudently returning capital to stockholders.</w:t>
      </w:r>
    </w:p>
    <w:p>
      <w:pPr>
        <w:spacing w:after="0" w:line="17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2026, we will continue our disciplined approach to capital allocation and intend to take advantage of our strong balance sheet and overall scale. We are constantly evaluating potential acquisitions of iconic upper-upscale and luxury properties that we believe have sustainable competitive advantages. Similarly, we intend to continue our capital recycling program with strategic and opportunistic dispositions. This may include the sale of assets where we believe an opportunistic sale will secure a realized return on our investment, the potential for growth is constrained or hotels with significant capital expenditure requirements that we do not believe would generate an adequate return.</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may acquire additional properties or dispose of properties through various structures, including transactions involving single assets, portfolios, joint ventures, mergers and acquisitions of the securities or assets of other REITs or distributions of hotels to our stockholders. We anticipate that any acquisitions may be funded by, or through a combination of, proceeds from the sales of hotels, equity offerings of Host Inc., issuances of OP units by Host L.P., incurrence of debt, available cash or advances under our credit facility. We note, however, that the nature and supply of these assets make acquisitions inherently difficult to predict. For these reasons, we can make no assurances that we will be successful in purchasing any one or more hotels that we are reviewing currently, or may in the future review, bid on or negotiate to buy.</w:t>
      </w:r>
    </w:p>
    <w:p>
      <w:pPr>
        <w:spacing w:after="0" w:line="18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also seek to create and mine value from our existing portfolio through value enhancement initiatives and ROI projects. We believe these investments provide a significant opportunity to achieve returns well in excess of our cost of capital. We work closely with our managers to attempt to schedule these projects to minimize operational disruption and environmental impact. Value enhancement initiatives seek to maximize the value of real estate within our existing portfolio through its highest and best use. These projects may include hotel expansion, timeshare, office space or condominium units on excess land, redevelopment or expansion of existing retail space, and the acquisition of development entitlements. ROI projects are designed to improve the positioning of our hotels within their markets and competitive set. These projects include extensive renovations, including guest rooms, lobbies, food and beverage outlets; expansions and/or extensive renovation of ballroom and meeting rooms; major mechanical system upgrades; and green building initiatives and certifications. Also included are projects focused on increasing space profitability or lowering net operating costs, such as converting unprofitable or underutilized space into meeting space, adding guestrooms, and implementing energy and water conservation measures such as LED lighting, high-efficiency mechanical, electrical and plumbing equipment and fixtures, solar power, energy management systems, guestroom water efficient fixtures, and building automation systems.</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Renewal and replacement capital expenditures are designed to maintain the quality and competitiveness of our hotels. Typically, renovations occur at intervals of approximately seven to ten years, but the timing may vary based on the type of property, function of area being renovated, hotel occupancy and other factors. These renovations generally are divided into the following types: soft goods, case goods, bathroom and architectural and engineering systems. Soft goods include items such as carpeting, textiles and wall finishes, which may require more frequent updates to maintain brand quality standards. Case goods include dressers, desks, couches, restaurant and meeting room tables and chairs, which generally are not replaced as frequently. Bathroom renovations include the refurbishment or replacement of tile, vanity, lighting and plumbing fixtures. Architectural and engineering systems include the physical plant of the hotel, including the roof, elevators/escalators, façade, heating, ventilation, and air conditioning and fire systems. We also execute capital expenditure projects to further increase the resilience of our hotels, including replacements and restorations of exterior walls, doors and windows, roofs, grounds, relocated/elevated critical equipment and distributed energy systems.</w:t>
      </w:r>
    </w:p>
    <w:p>
      <w:pPr>
        <w:spacing w:after="0" w:line="18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Throughout the lodging cycle, to the extent that we are unable to find appropriate investment opportunities that meet our return requirements, we will focus on returning capital to stockholders through dividends or common stock repurchases. Significant factors we review to determine the level and timing of the returns to stockholders include our current stock price compared to our determination of the underlying value of our assets, current and forecast operating results and the completion of hotel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Grade Balance Sheet</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goal is to maintain a flexible capital structure that allows us to execute our strategy throughout the lodging cycle. To maintain its qualification as a REIT, Host Inc. is required to distribute 90% of its taxable income (other than net</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gain) to its stockholders each year and, as a result, generally relies on external sources of capital, as well as cash from operations, to finance growth.</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Management believes that a strong balance sheet is a key competitive advantage that affords us a lower cost of debt and positions us for external growth. While we may issue debt at any time, we will target a net debt-to-earnings before interest, taxes, depreciation and amortization (“EBITDA”) ratio, (or “Leverage Ratio,” as defined in our credit facility) that allows us to maintain an investment grade rating on our senior unsecured debt. We believe an investment grade rating will give us the most consistent access to capital throughout the business cycle.</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seek to structure our debt profile to maintain financial flexibility and a staggered maturity schedule with access to different forms of financing, consisting primarily of senior notes and exchangeable debentures, as well as mortgage debt. Generally, we look to minimize the number of assets that are encumbered by mortgage debt, minimize near-term maturities and maintain a staggered maturity schedule. Depending on market conditions, we also may utilize variable rate debt which can provide greater protection during a decline in the lodging industry.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Responsibility</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creating long-term value through investing responsibly in our business, environment, people and community. Our Corporate Responsibility ("CR") program is centered around the concept of responsible investment—an overarching strategy that guides our focus and actions across our three main themes of Environmental Stewardship, Social Responsibility and Governance.</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believe that a disciplined and proactive approach to addressing critical environmental, social and governance topics enables us to create long-term value for our stockholders and helps us to optimize our portfolio and human capital investments, while maintaining our position as a global sustainability leader. Our management approach is driven by people, culture, policies, targets and performance monitoring to improve the value from our investments of time, talent and financial resources. This approach directly supports Host’s business strategy and goals.</w:t>
      </w:r>
    </w:p>
    <w:p>
      <w:pPr>
        <w:spacing w:after="0" w:line="178" w:lineRule="exact"/>
        <w:rPr>
          <w:sz w:val="20"/>
          <w:szCs w:val="20"/>
          <w:color w:val="auto"/>
        </w:rPr>
      </w:pPr>
    </w:p>
    <w:p>
      <w:pPr>
        <w:ind w:left="1300" w:right="460" w:hanging="644"/>
        <w:spacing w:after="0" w:line="284"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Environmental Stewardship</w:t>
      </w:r>
      <w:r>
        <w:rPr>
          <w:rFonts w:ascii="Times New Roman" w:cs="Times New Roman" w:eastAsia="Times New Roman" w:hAnsi="Times New Roman"/>
          <w:sz w:val="18"/>
          <w:szCs w:val="18"/>
          <w:color w:val="auto"/>
        </w:rPr>
        <w:t>: We are investing in solutions that conserve and restore natural capital to assist us in mitigating climate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and biodiversity impacts with the goal of achieving best-in-class returns.</w:t>
      </w:r>
    </w:p>
    <w:p>
      <w:pPr>
        <w:spacing w:after="0" w:line="158" w:lineRule="exact"/>
        <w:rPr>
          <w:rFonts w:ascii="Times New Roman" w:cs="Times New Roman" w:eastAsia="Times New Roman" w:hAnsi="Times New Roman"/>
          <w:sz w:val="18"/>
          <w:szCs w:val="18"/>
          <w:color w:val="auto"/>
        </w:rPr>
      </w:pPr>
    </w:p>
    <w:p>
      <w:pPr>
        <w:ind w:left="1300" w:right="60" w:hanging="644"/>
        <w:spacing w:after="0" w:line="284"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Social Responsibility</w:t>
      </w:r>
      <w:r>
        <w:rPr>
          <w:rFonts w:ascii="Times New Roman" w:cs="Times New Roman" w:eastAsia="Times New Roman" w:hAnsi="Times New Roman"/>
          <w:sz w:val="18"/>
          <w:szCs w:val="18"/>
          <w:color w:val="auto"/>
        </w:rPr>
        <w:t>: We are committed to advancing health, well-being and opportunity for all of our stakeholders, including investors,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partners and communities.</w:t>
      </w:r>
    </w:p>
    <w:p>
      <w:pPr>
        <w:spacing w:after="0" w:line="158" w:lineRule="exact"/>
        <w:rPr>
          <w:rFonts w:ascii="Times New Roman" w:cs="Times New Roman" w:eastAsia="Times New Roman" w:hAnsi="Times New Roman"/>
          <w:sz w:val="18"/>
          <w:szCs w:val="18"/>
          <w:color w:val="auto"/>
        </w:rPr>
      </w:pPr>
    </w:p>
    <w:p>
      <w:pPr>
        <w:ind w:left="1300" w:right="240" w:hanging="644"/>
        <w:spacing w:after="0" w:line="267"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Governance</w:t>
      </w:r>
      <w:r>
        <w:rPr>
          <w:rFonts w:ascii="Times New Roman" w:cs="Times New Roman" w:eastAsia="Times New Roman" w:hAnsi="Times New Roman"/>
          <w:sz w:val="18"/>
          <w:szCs w:val="18"/>
          <w:color w:val="auto"/>
        </w:rPr>
        <w:t>: Our responsible investment strategies are guided by executive and board-level oversight, our EPIC values of Excellence,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Integrity and Community, our ethical standards, and a disciplined approach to risk management and sustainable value creation.</w:t>
      </w:r>
    </w:p>
    <w:p>
      <w:pPr>
        <w:spacing w:after="0" w:line="17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Real Estate Sustainability Accounting Standard issued by the Sustainability Accounting Standards Board (“SASB”) (now maintained by the International Sustainability Standards Board under the International Financial Reporting Standards Foundation) outlines the disclosure topics and accounting metrics for the real estate industry. The energy and water management metrics that best correlate with our industry include total energy consumed (“Total Energy Consumption”) and total water withdrawn (“Total Water Consumption”). The energy and water data we use is collected and reviewed by third parties who compile the data from property utility statements.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charts below detail our third-party verified Total Energy Consumption and Total Water Consumption for 2022 through 2024, the last three fiscal years for which data is available</w:t>
      </w:r>
      <w:r>
        <w:rPr>
          <w:rFonts w:ascii="Times New Roman" w:cs="Times New Roman" w:eastAsia="Times New Roman" w:hAnsi="Times New Roman"/>
          <w:sz w:val="7"/>
          <w:szCs w:val="7"/>
          <w:color w:val="auto"/>
        </w:rPr>
        <w:t>(1)</w:t>
      </w:r>
      <w:r>
        <w:rPr>
          <w:rFonts w:ascii="Times New Roman" w:cs="Times New Roman" w:eastAsia="Times New Roman" w:hAnsi="Times New Roman"/>
          <w:sz w:val="18"/>
          <w:szCs w:val="18"/>
          <w:color w:val="auto"/>
        </w:rPr>
        <w:t>. Total Energy Consumption increased from 2023 to 2024 due to the return to normal operations at properties impacted by weather events in 2023, partially offset by efficiency investments. Total Water Consumption decreased from 2023 to 2024 primarily due to decreased occupancy across our Maui resorts, following the wildfires. The increases in both Total Water Consumption and Total Energy Consumption from 2022 to 2023 reflect occupancy increases at our hotels.</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531495</wp:posOffset>
            </wp:positionV>
            <wp:extent cx="6197600" cy="21431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976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___________</w:t>
      </w:r>
    </w:p>
    <w:p>
      <w:pPr>
        <w:spacing w:after="0" w:line="27" w:lineRule="exact"/>
        <w:rPr>
          <w:sz w:val="20"/>
          <w:szCs w:val="20"/>
          <w:color w:val="auto"/>
        </w:rPr>
      </w:pPr>
    </w:p>
    <w:p>
      <w:pPr>
        <w:ind w:left="640" w:hanging="551"/>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Energy and water metrics relate to our consolidated hotels owned for the entire year presented.</w:t>
      </w:r>
    </w:p>
    <w:p>
      <w:pPr>
        <w:spacing w:after="0" w:line="22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latest Corporate Responsibility Report, which was issued in August 2025, details our CR program and responsible investment strategy; along with our environmental, social and governance performance and our 2030 environmental and social targets that serve as the interim milestone in our roadmap to achieve our aspirational vision of becoming a net positive company by 2050. The Corporate Responsibility Report also includes Task Force on Climate-Related Financial Disclosures (TCFD) and full SASB disclosures, as well as an EEO-1 report. The contents of our Corporate Responsibility Report are not incorporated by reference into this Form 10-K and do not form a part of this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Lodging Industry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lodging industry in the United States consists of private and public entities that operate in a diversified market under a variety of brand names.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lodging industry has several key participants:</w:t>
      </w:r>
    </w:p>
    <w:p>
      <w:pPr>
        <w:spacing w:after="0" w:line="205" w:lineRule="exact"/>
        <w:rPr>
          <w:sz w:val="20"/>
          <w:szCs w:val="20"/>
          <w:color w:val="auto"/>
        </w:rPr>
      </w:pPr>
    </w:p>
    <w:p>
      <w:pPr>
        <w:ind w:left="1300" w:right="260" w:hanging="644"/>
        <w:spacing w:after="0" w:line="267"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Owners</w:t>
      </w:r>
      <w:r>
        <w:rPr>
          <w:rFonts w:ascii="Times New Roman" w:cs="Times New Roman" w:eastAsia="Times New Roman" w:hAnsi="Times New Roman"/>
          <w:sz w:val="18"/>
          <w:szCs w:val="18"/>
          <w:color w:val="auto"/>
        </w:rPr>
        <w:t>—own the hotel and typically enter into an agreement for an independent third party to manage the hotel. These hotels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branded and operated under the manager’s brand or branded under a franchise agreement and operated by the franchisee or by an independent hotel manager. The hotels also may be operated as an independent hotel by an independent hotel manager.</w:t>
      </w:r>
    </w:p>
    <w:p>
      <w:pPr>
        <w:spacing w:after="0" w:line="173" w:lineRule="exact"/>
        <w:rPr>
          <w:rFonts w:ascii="Times New Roman" w:cs="Times New Roman" w:eastAsia="Times New Roman" w:hAnsi="Times New Roman"/>
          <w:sz w:val="18"/>
          <w:szCs w:val="18"/>
          <w:color w:val="auto"/>
        </w:rPr>
      </w:pPr>
    </w:p>
    <w:p>
      <w:pPr>
        <w:ind w:left="1300" w:right="480" w:hanging="644"/>
        <w:spacing w:after="0" w:line="267"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Owner/Managers</w:t>
      </w:r>
      <w:r>
        <w:rPr>
          <w:rFonts w:ascii="Times New Roman" w:cs="Times New Roman" w:eastAsia="Times New Roman" w:hAnsi="Times New Roman"/>
          <w:sz w:val="18"/>
          <w:szCs w:val="18"/>
          <w:color w:val="auto"/>
        </w:rPr>
        <w:t>—own the hotel and operate the property with their own management team. These hotels may be branded under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franchise agreement, operated as an independent hotel or operated under the owner’s brand. We are prohibited from operating and managing hotels by applicable REIT rules.</w:t>
      </w:r>
    </w:p>
    <w:p>
      <w:pPr>
        <w:spacing w:after="0" w:line="173" w:lineRule="exact"/>
        <w:rPr>
          <w:rFonts w:ascii="Times New Roman" w:cs="Times New Roman" w:eastAsia="Times New Roman" w:hAnsi="Times New Roman"/>
          <w:sz w:val="18"/>
          <w:szCs w:val="18"/>
          <w:color w:val="auto"/>
        </w:rPr>
      </w:pPr>
    </w:p>
    <w:p>
      <w:pPr>
        <w:ind w:left="1300" w:right="120" w:hanging="644"/>
        <w:spacing w:after="0" w:line="315" w:lineRule="auto"/>
        <w:tabs>
          <w:tab w:leader="none" w:pos="129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Franchisors</w:t>
      </w:r>
      <w:r>
        <w:rPr>
          <w:rFonts w:ascii="Times New Roman" w:cs="Times New Roman" w:eastAsia="Times New Roman" w:hAnsi="Times New Roman"/>
          <w:sz w:val="17"/>
          <w:szCs w:val="17"/>
          <w:color w:val="auto"/>
        </w:rPr>
        <w:t>—own a brand or brands and strive to grow their revenues by expanding the number of hotels in their franchise system.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Franchisors provide their hotels with brand recognition, marketing support and centralized reservation systems for the franchised hotels.</w:t>
      </w:r>
    </w:p>
    <w:p>
      <w:pPr>
        <w:spacing w:after="0" w:line="134"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Franchisor/Managers</w:t>
      </w:r>
      <w:r>
        <w:rPr>
          <w:rFonts w:ascii="Times New Roman" w:cs="Times New Roman" w:eastAsia="Times New Roman" w:hAnsi="Times New Roman"/>
          <w:sz w:val="18"/>
          <w:szCs w:val="18"/>
          <w:color w:val="auto"/>
        </w:rPr>
        <w:t>—own a brand or brands and operate hotels on behalf of the hotel owner or franchisee.</w:t>
      </w:r>
    </w:p>
    <w:p>
      <w:pPr>
        <w:spacing w:after="0" w:line="225" w:lineRule="exact"/>
        <w:rPr>
          <w:rFonts w:ascii="Times New Roman" w:cs="Times New Roman" w:eastAsia="Times New Roman" w:hAnsi="Times New Roman"/>
          <w:sz w:val="18"/>
          <w:szCs w:val="18"/>
          <w:color w:val="auto"/>
        </w:rPr>
      </w:pPr>
    </w:p>
    <w:p>
      <w:pPr>
        <w:ind w:left="1300" w:right="580" w:hanging="644"/>
        <w:spacing w:after="0" w:line="284"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Managers</w:t>
      </w:r>
      <w:r>
        <w:rPr>
          <w:rFonts w:ascii="Times New Roman" w:cs="Times New Roman" w:eastAsia="Times New Roman" w:hAnsi="Times New Roman"/>
          <w:sz w:val="18"/>
          <w:szCs w:val="18"/>
          <w:color w:val="auto"/>
        </w:rPr>
        <w:t>—operate hotels on behalf of the hotel owner, but do not, themselves, own a brand. The hotels may be operated under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franchise agreement or as an independent hotel.</w:t>
      </w:r>
    </w:p>
    <w:p>
      <w:pPr>
        <w:spacing w:after="0" w:line="16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hotel manager is responsible for the day-to-day operations of the hotel, including the employment of hotel staff, the determination of room rates, the development of sales and marketing plans, the preparation of operating and capital expenditures budgets and the preparation of financial reports for the owner. The hotel manager typically receives fees based on the revenues and profitability of the hotel.</w:t>
      </w:r>
    </w:p>
    <w:p>
      <w:pPr>
        <w:spacing w:after="0" w:line="172"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and Demand. </w:t>
      </w:r>
      <w:r>
        <w:rPr>
          <w:rFonts w:ascii="Times New Roman" w:cs="Times New Roman" w:eastAsia="Times New Roman" w:hAnsi="Times New Roman"/>
          <w:sz w:val="18"/>
          <w:szCs w:val="18"/>
          <w:color w:val="auto"/>
        </w:rPr>
        <w:t>Our industry is influenced by the cyclical relationship between the supply of and demand for hotel rooms. Lodging demand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growth typically is related to the vitality of the overall economy, in addition to local</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market factors that stimulate travel to specific destinations. Trends in economic indicators such as gross domestic product (“GDP”) growth, business investment, corporate profits and employment growth are key indicators of the relative strength of lodging demand. Lodging demand also will be affected by changes to international travel patterns.</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Lodging supply growth generally is driven by overall lodging demand, as extended periods of strong demand growth tend to encourage new development. However, the rate of supply growth also is influenced by several additional factors, including the availability of capital, interest rates, construction costs and unique market considerations. The relatively long lead-time required to complete the development of hotels makes supply growth easier to forecast than demand growth but increases the volatility of the cyclical behavior of the lodging industry, as new supply may be planned during an upcycle but may open for business in a weaker economy. Therefore, as illustrated in the charts below for the U.S. lodging industry, at different points in the cycle, demand growth may accelerate when supply growth is very low, or supply may accelerate while demand growth is slowing. Additionally, conversions of properties from independent properties to upscale or luxury brands caused an increase in the supply for upscale and luxury properties in 2025, although overall hotel supply growth remained low. Online short-term rentals are a source of non-traditional supply for the industry, in both urban and resort destinations, including as a flexible option for apartment buildings and vacation homes. Though not reported through official industry statistics, the impact on the hotel industry and the availability of these outlets is more variable than typical changes in supply from hotel construction and tends to be very market specific. Local legislation has the potential to limit supply growth for these online short-term rentals in many top markets, though the growth of professional management for legal rentals remains a key trend.</w:t>
      </w:r>
    </w:p>
    <w:p>
      <w:pPr>
        <w:spacing w:after="0" w:line="19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portfolio primarily consists of upper upscale and luxury hotels and, accordingly, its performance is best understood in comparison to the luxury and upper upscale categories rather than the entire industry. The charts below detail the historical supply, demand and revenue per available room (“RevPAR”) growth for the U.S. lodging industry and for the U.S. luxury and upper upscale categories for 2020 to 2025.</w:t>
      </w:r>
    </w:p>
    <w:p>
      <w:pPr>
        <w:spacing w:after="0" w:line="17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i w:val="1"/>
          <w:iCs w:val="1"/>
          <w:color w:val="auto"/>
        </w:rPr>
        <w:t>U.S. Lodging Industry Supply, Demand and RevPAR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156845</wp:posOffset>
            </wp:positionV>
            <wp:extent cx="4363085" cy="2503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6308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i w:val="1"/>
          <w:iCs w:val="1"/>
          <w:color w:val="auto"/>
        </w:rPr>
        <w:t>U.S. Luxury and Upper Upscale Supply, Demand and RevPAR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156845</wp:posOffset>
            </wp:positionV>
            <wp:extent cx="4363085" cy="2503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6308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right="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Customers. </w:t>
      </w:r>
      <w:r>
        <w:rPr>
          <w:rFonts w:ascii="Times New Roman" w:cs="Times New Roman" w:eastAsia="Times New Roman" w:hAnsi="Times New Roman"/>
          <w:sz w:val="18"/>
          <w:szCs w:val="18"/>
          <w:color w:val="auto"/>
        </w:rPr>
        <w:t>Our customers fall into three broad groups: transient business, group business and contract business. Similar to the majority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lodging industry, we further categorize business within these broad groups based on characteristics they have in common as follows:</w:t>
      </w:r>
    </w:p>
    <w:p>
      <w:pPr>
        <w:spacing w:after="0" w:line="5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Transient business broadly represents individual business and/or leisure travelers. Our hotels attract both business and leisure travelers; therefore, our hotels' performance as it relates to transient demand is driven by trends related to both of these customer types. The four key subcategories of rates offered to the transient business group are:</w:t>
      </w:r>
    </w:p>
    <w:p>
      <w:pPr>
        <w:spacing w:after="0" w:line="66" w:lineRule="exact"/>
        <w:rPr>
          <w:sz w:val="20"/>
          <w:szCs w:val="20"/>
          <w:color w:val="auto"/>
        </w:rPr>
      </w:pPr>
    </w:p>
    <w:p>
      <w:pPr>
        <w:ind w:left="1300" w:hanging="644"/>
        <w:spacing w:after="0" w:line="261"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 </w:t>
      </w:r>
      <w:r>
        <w:rPr>
          <w:rFonts w:ascii="Times New Roman" w:cs="Times New Roman" w:eastAsia="Times New Roman" w:hAnsi="Times New Roman"/>
          <w:sz w:val="18"/>
          <w:szCs w:val="18"/>
          <w:color w:val="auto"/>
        </w:rPr>
        <w:t>This is the benchmark rate that a hotel publishes and offers to the public. It typically is the rate charged to travelers that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access to negotiated or discounted rates. It includes the “rack rate,” which typically is applied to rooms during high demand periods and is the highest rate category available. Retail room rates will fluctuate more freely depending on anticipated demand levels (e.g., seasonality and weekday vs. weekend stays).</w:t>
      </w:r>
    </w:p>
    <w:p>
      <w:pPr>
        <w:spacing w:after="0" w:line="71" w:lineRule="exact"/>
        <w:rPr>
          <w:rFonts w:ascii="Times New Roman" w:cs="Times New Roman" w:eastAsia="Times New Roman" w:hAnsi="Times New Roman"/>
          <w:sz w:val="18"/>
          <w:szCs w:val="18"/>
          <w:color w:val="auto"/>
        </w:rPr>
      </w:pPr>
    </w:p>
    <w:p>
      <w:pPr>
        <w:ind w:left="1300" w:right="60" w:hanging="644"/>
        <w:spacing w:after="0" w:line="284"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Non-Qualified Discount: </w:t>
      </w:r>
      <w:r>
        <w:rPr>
          <w:rFonts w:ascii="Times New Roman" w:cs="Times New Roman" w:eastAsia="Times New Roman" w:hAnsi="Times New Roman"/>
          <w:sz w:val="18"/>
          <w:szCs w:val="18"/>
          <w:color w:val="auto"/>
        </w:rPr>
        <w:t>This category includes special rates offered by the hotels, including packages, advance-purchase discounts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promotional offers. It also includes rooms booked through online travel agencies (OTAs).</w:t>
      </w:r>
    </w:p>
    <w:p>
      <w:pPr>
        <w:spacing w:after="0" w:line="50" w:lineRule="exact"/>
        <w:rPr>
          <w:rFonts w:ascii="Times New Roman" w:cs="Times New Roman" w:eastAsia="Times New Roman" w:hAnsi="Times New Roman"/>
          <w:sz w:val="18"/>
          <w:szCs w:val="18"/>
          <w:color w:val="auto"/>
        </w:rPr>
      </w:pPr>
    </w:p>
    <w:p>
      <w:pPr>
        <w:ind w:left="1300" w:right="20" w:hanging="644"/>
        <w:spacing w:after="0" w:line="267"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Corporate</w:t>
      </w:r>
      <w:r>
        <w:rPr>
          <w:rFonts w:ascii="Times New Roman" w:cs="Times New Roman" w:eastAsia="Times New Roman" w:hAnsi="Times New Roman"/>
          <w:sz w:val="18"/>
          <w:szCs w:val="18"/>
          <w:color w:val="auto"/>
        </w:rPr>
        <w:t>: This is a negotiated rate offered to companies and organizations that provide significant levels of room night 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hotel or to hotel brands generally. These rates typically are negotiated annually at a discount to the anticipated retail rate. In addition, this category includes rates offered at the prevailing per diem for approved government travel.</w:t>
      </w:r>
    </w:p>
    <w:p>
      <w:pPr>
        <w:spacing w:after="0" w:line="65" w:lineRule="exact"/>
        <w:rPr>
          <w:rFonts w:ascii="Times New Roman" w:cs="Times New Roman" w:eastAsia="Times New Roman" w:hAnsi="Times New Roman"/>
          <w:sz w:val="18"/>
          <w:szCs w:val="18"/>
          <w:color w:val="auto"/>
        </w:rPr>
      </w:pPr>
    </w:p>
    <w:p>
      <w:pPr>
        <w:ind w:left="1300" w:right="500" w:hanging="644"/>
        <w:spacing w:after="0" w:line="284"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Qualified Discount</w:t>
      </w:r>
      <w:r>
        <w:rPr>
          <w:rFonts w:ascii="Times New Roman" w:cs="Times New Roman" w:eastAsia="Times New Roman" w:hAnsi="Times New Roman"/>
          <w:sz w:val="18"/>
          <w:szCs w:val="18"/>
          <w:color w:val="auto"/>
        </w:rPr>
        <w:t>: This category encompasses all discount programs, such as AAA and AARP discounts, rooms booked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wholesale channels, frequent guest program redemptions, and promotional rates and packages offered by a hotel.</w:t>
      </w:r>
    </w:p>
    <w:p>
      <w:pPr>
        <w:spacing w:after="0" w:line="16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Group business represents clusters of guestrooms booked together, usually with a minimum of 10 rooms. The three key sub-categories of the group business category are:</w:t>
      </w:r>
    </w:p>
    <w:p>
      <w:pPr>
        <w:spacing w:after="0" w:line="52"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Association</w:t>
      </w:r>
      <w:r>
        <w:rPr>
          <w:rFonts w:ascii="Times New Roman" w:cs="Times New Roman" w:eastAsia="Times New Roman" w:hAnsi="Times New Roman"/>
          <w:sz w:val="18"/>
          <w:szCs w:val="18"/>
          <w:color w:val="auto"/>
        </w:rPr>
        <w:t>: group business related to national and regional association meetings and conventions.</w:t>
      </w:r>
    </w:p>
    <w:p>
      <w:pPr>
        <w:spacing w:after="0" w:line="117" w:lineRule="exact"/>
        <w:rPr>
          <w:rFonts w:ascii="Times New Roman" w:cs="Times New Roman" w:eastAsia="Times New Roman" w:hAnsi="Times New Roman"/>
          <w:sz w:val="18"/>
          <w:szCs w:val="18"/>
          <w:color w:val="auto"/>
        </w:rPr>
      </w:pPr>
    </w:p>
    <w:p>
      <w:pPr>
        <w:ind w:left="1300" w:right="800" w:hanging="644"/>
        <w:spacing w:after="0" w:line="284"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w:t>
      </w:r>
      <w:r>
        <w:rPr>
          <w:rFonts w:ascii="Times New Roman" w:cs="Times New Roman" w:eastAsia="Times New Roman" w:hAnsi="Times New Roman"/>
          <w:sz w:val="18"/>
          <w:szCs w:val="18"/>
          <w:color w:val="auto"/>
        </w:rPr>
        <w:t>: group business related to corporate meetings (e.g., product launches, training programs, contract negotiations,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presentations).</w:t>
      </w:r>
    </w:p>
    <w:p>
      <w:pPr>
        <w:spacing w:after="0" w:line="50" w:lineRule="exact"/>
        <w:rPr>
          <w:rFonts w:ascii="Times New Roman" w:cs="Times New Roman" w:eastAsia="Times New Roman" w:hAnsi="Times New Roman"/>
          <w:sz w:val="18"/>
          <w:szCs w:val="18"/>
          <w:color w:val="auto"/>
        </w:rPr>
      </w:pPr>
    </w:p>
    <w:p>
      <w:pPr>
        <w:ind w:left="1300" w:right="480" w:hanging="644"/>
        <w:spacing w:after="0" w:line="284"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group business predominately related to social, military, education, religious, fraternal and youth and amateur sports teams,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known as SMERF business.</w:t>
      </w:r>
    </w:p>
    <w:p>
      <w:pPr>
        <w:spacing w:after="0" w:line="160"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Contract business refers to blocks of rooms sold to a specific company for an extended period at significantly discounted rates. Airline crews are typical generators of contract demand for our airport hotels. Contract rates may be utilized by hotels that are in markets that are experiencing consistently lower levels of demand.</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Managers and Operational Agreements</w:t>
      </w:r>
    </w:p>
    <w:p>
      <w:pPr>
        <w:spacing w:after="0" w:line="22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All our hotels are managed by third parties pursuant to management or operating agreements, with some of such hotels also subject to separate franchise or license agreements addressing matters pertaining to operations under the designated brand. The specific terms and conditions of these management or operating agreements vary depending upon whether the manager owns the hotel brand, whether the property is subject to a separate franchise or license agreement, the identity of the third-party manager, the location of the hotel and many other factors. Under these management or operating agreements, the managers have sole responsibility and exclusive authority for all activities necessary for the day-to-day operation of the hotels, including establishing room rates, securing reservations, procuring inventories, supplies and services, providing periodic inspection and consultation visits to the hotels by the managers’ technical and operational experts and promoting and publicizing the hotels. The managers employ all managerial and other employees for the hotels, review hotel operations with a focus on improving revenues and managing expenses, review the maintenance of the hotels, prepare reports, budgets and projections, and provide other administrative and accounting support services to the hotels. These support services include planning and policy services, financial services, employee staffing and training, corporate executive management and certain in-house legal services. We have certain approval rights over budgets, capital expenditures, significant leases and contractual commitments, and various other matters.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General Terms and Provisions </w:t>
      </w:r>
      <w:r>
        <w:rPr>
          <w:rFonts w:ascii="Times New Roman" w:cs="Times New Roman" w:eastAsia="Times New Roman" w:hAnsi="Times New Roman"/>
          <w:sz w:val="18"/>
          <w:szCs w:val="18"/>
          <w:color w:val="auto"/>
        </w:rPr>
        <w:t>– Agreements governing our hotels that are managed by brand owners (Marriott, Hyatt, Hilton, 1 Hotels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AccorHotels) typically include the terms described below:</w:t>
      </w:r>
    </w:p>
    <w:p>
      <w:pPr>
        <w:spacing w:after="0" w:line="97" w:lineRule="exact"/>
        <w:rPr>
          <w:sz w:val="20"/>
          <w:szCs w:val="20"/>
          <w:color w:val="auto"/>
        </w:rPr>
      </w:pPr>
    </w:p>
    <w:p>
      <w:pPr>
        <w:ind w:left="1300" w:hanging="644"/>
        <w:spacing w:after="0" w:line="257"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and fees for operational services</w:t>
      </w:r>
      <w:r>
        <w:rPr>
          <w:rFonts w:ascii="Times New Roman" w:cs="Times New Roman" w:eastAsia="Times New Roman" w:hAnsi="Times New Roman"/>
          <w:sz w:val="18"/>
          <w:szCs w:val="18"/>
          <w:color w:val="auto"/>
        </w:rPr>
        <w:t>. The initial term of our management and operating agreements range from 10 to 50 years.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hotels there are one or more renewal terms, typically exercisable at the option of the manager. Certain of our management agreements condition the manager’s right to exercise options for specified renewal terms upon the satisfaction of specified economic performance criteria. The manager typically receives compensation in the form of a base management fee, which in most instances is calculated as a percentage (generally 2-3%) of annual gross revenues, and an incentive management fee, which typically is calculated as a percentage (generally 10-20%) of operating profit after the owner has received a priority return on its investment in the hotel.</w:t>
      </w:r>
    </w:p>
    <w:p>
      <w:pPr>
        <w:spacing w:after="0" w:line="74" w:lineRule="exact"/>
        <w:rPr>
          <w:rFonts w:ascii="Times New Roman" w:cs="Times New Roman" w:eastAsia="Times New Roman" w:hAnsi="Times New Roman"/>
          <w:sz w:val="18"/>
          <w:szCs w:val="18"/>
          <w:color w:val="auto"/>
        </w:rPr>
      </w:pPr>
    </w:p>
    <w:p>
      <w:pPr>
        <w:ind w:left="1300" w:right="60" w:hanging="644"/>
        <w:spacing w:after="0" w:line="256"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Chain or system programs and services</w:t>
      </w:r>
      <w:r>
        <w:rPr>
          <w:rFonts w:ascii="Times New Roman" w:cs="Times New Roman" w:eastAsia="Times New Roman" w:hAnsi="Times New Roman"/>
          <w:sz w:val="18"/>
          <w:szCs w:val="18"/>
          <w:color w:val="auto"/>
        </w:rPr>
        <w:t>. Managers provide chain or system programs and services generally that are furnished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centralized basis. Such services may include the development and operation of certain computer systems and reservation services, regional or other centralized management and administrative services, marketing and sales programs and services, training and other personnel services, and other centralized or regional services as may be determined to be more efficiently performed on a centralized, regional or group basis rather than on an individual hotel basis. Costs and expenses incurred in providing these chain or system programs and services generally are allocated on a cost reimbursement basis among all hotels managed by the manager or its affiliates or that otherwise benefit from these services.</w:t>
      </w:r>
    </w:p>
    <w:p>
      <w:pPr>
        <w:spacing w:after="0" w:line="74" w:lineRule="exact"/>
        <w:rPr>
          <w:rFonts w:ascii="Times New Roman" w:cs="Times New Roman" w:eastAsia="Times New Roman" w:hAnsi="Times New Roman"/>
          <w:sz w:val="18"/>
          <w:szCs w:val="18"/>
          <w:color w:val="auto"/>
        </w:rPr>
      </w:pPr>
    </w:p>
    <w:p>
      <w:pPr>
        <w:ind w:left="1300" w:right="120" w:hanging="644"/>
        <w:spacing w:after="0" w:line="256"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Working capital and fixed asset supplies</w:t>
      </w:r>
      <w:r>
        <w:rPr>
          <w:rFonts w:ascii="Times New Roman" w:cs="Times New Roman" w:eastAsia="Times New Roman" w:hAnsi="Times New Roman"/>
          <w:sz w:val="18"/>
          <w:szCs w:val="18"/>
          <w:color w:val="auto"/>
        </w:rPr>
        <w:t>. We are required to provide working capital for each hotel and to fund the cost of certain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supplies (for example, linen, china, glassware, silver and uniforms). We also are responsible for providing funds to meet the cash needs for hotel operations if at any time cash available at the hotel is insufficient to meet the financial requirements of that hotel, such as occurred during the COVID-19 pandemic. For certain hotels, the working capital accounts which would otherwise be maintained by the managers for each of such hotels are maintained on a pooled basis, with managers being authorized to make withdrawals from such pooled account as otherwise contemplated with respect to working capital in accordance with the provisions of the management or operating agreements.</w:t>
      </w:r>
    </w:p>
    <w:p>
      <w:pPr>
        <w:spacing w:after="0" w:line="74" w:lineRule="exact"/>
        <w:rPr>
          <w:rFonts w:ascii="Times New Roman" w:cs="Times New Roman" w:eastAsia="Times New Roman" w:hAnsi="Times New Roman"/>
          <w:sz w:val="18"/>
          <w:szCs w:val="18"/>
          <w:color w:val="auto"/>
        </w:rPr>
      </w:pPr>
    </w:p>
    <w:p>
      <w:pPr>
        <w:ind w:left="1300" w:right="180" w:hanging="644"/>
        <w:spacing w:after="0" w:line="256"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Furniture, fixtures and equipment replacements</w:t>
      </w:r>
      <w:r>
        <w:rPr>
          <w:rFonts w:ascii="Times New Roman" w:cs="Times New Roman" w:eastAsia="Times New Roman" w:hAnsi="Times New Roman"/>
          <w:sz w:val="18"/>
          <w:szCs w:val="18"/>
          <w:color w:val="auto"/>
        </w:rPr>
        <w:t>. We are required to provide the managers with all furniture, fixtures and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(“FF&amp;E”) necessary for the operation of the hotels (including funding any required FF&amp;E replacements). On an annual basis, the managers prepare budgets for FF&amp;E to be acquired and certain routine repairs and maintenance to be performed in the next year and an estimate of the necessary funds, which budgets are subject to our review and approval. For purposes of funding such expenditures, a specified percentage (typically 4-5%) of the gross revenues of each hotel is deposited by the manager into an escrow or reserve account in our name, to which the manager has access. For certain hotels, we have negotiated flexibility with the manager that reduces the funding commitment required as follows:</w:t>
      </w:r>
    </w:p>
    <w:p>
      <w:pPr>
        <w:spacing w:after="0" w:line="184" w:lineRule="exact"/>
        <w:rPr>
          <w:rFonts w:ascii="Times New Roman" w:cs="Times New Roman" w:eastAsia="Times New Roman" w:hAnsi="Times New Roman"/>
          <w:sz w:val="18"/>
          <w:szCs w:val="18"/>
          <w:color w:val="auto"/>
        </w:rPr>
      </w:pPr>
    </w:p>
    <w:p>
      <w:pPr>
        <w:ind w:left="1960" w:right="180" w:hanging="332"/>
        <w:spacing w:after="0" w:line="282" w:lineRule="auto"/>
        <w:tabs>
          <w:tab w:leader="none" w:pos="195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of our Marriott-managed hotels, we have entered into an agreement with Marriott to allow for such expenditures to be funded from one pooled reserve account, rather than periodic</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960" w:right="140"/>
        <w:spacing w:after="0" w:line="258" w:lineRule="auto"/>
        <w:rPr>
          <w:sz w:val="20"/>
          <w:szCs w:val="20"/>
          <w:color w:val="auto"/>
        </w:rPr>
      </w:pPr>
      <w:r>
        <w:rPr>
          <w:rFonts w:ascii="Times New Roman" w:cs="Times New Roman" w:eastAsia="Times New Roman" w:hAnsi="Times New Roman"/>
          <w:sz w:val="18"/>
          <w:szCs w:val="18"/>
          <w:color w:val="auto"/>
        </w:rPr>
        <w:t>reserve fund contributions being deposited into separate reserve accounts at each of the subject hotels, with the minimum required balance maintained on an ongoing basis in that pooled reserve account being significantly less than the amount that would have been maintained otherwise in such separate hotel reserve accounts. Upon sale, a hotel-level reserve account would typically be funded (either by the purchaser or by us, as the seller) in the full amount of the reserve balance associated with the subject hotel.</w:t>
      </w:r>
    </w:p>
    <w:p>
      <w:pPr>
        <w:spacing w:after="0" w:line="183" w:lineRule="exact"/>
        <w:rPr>
          <w:sz w:val="20"/>
          <w:szCs w:val="20"/>
          <w:color w:val="auto"/>
        </w:rPr>
      </w:pPr>
    </w:p>
    <w:p>
      <w:pPr>
        <w:ind w:left="1960" w:right="100" w:hanging="332"/>
        <w:spacing w:after="0" w:line="258" w:lineRule="auto"/>
        <w:tabs>
          <w:tab w:leader="none" w:pos="195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other hotels periodic reserve fund contributions, which otherwise would be deposited into reserve accounts maintained by managers at each hotel, are distributed to us and we are responsible for providing funding of expenditures which otherwise would be funded from reserve accounts for each of the subject hotels. Upon sale, a hotel-level reserve account would typically be funded (either by the purchaser or by us, as the seller) in the full amount of the reserve balance associated with the subject hotel.</w:t>
      </w:r>
    </w:p>
    <w:p>
      <w:pPr>
        <w:spacing w:after="0" w:line="73" w:lineRule="exact"/>
        <w:rPr>
          <w:rFonts w:ascii="Times New Roman" w:cs="Times New Roman" w:eastAsia="Times New Roman" w:hAnsi="Times New Roman"/>
          <w:sz w:val="18"/>
          <w:szCs w:val="18"/>
          <w:color w:val="auto"/>
        </w:rPr>
      </w:pPr>
    </w:p>
    <w:p>
      <w:pPr>
        <w:ind w:left="1300" w:right="40" w:hanging="644"/>
        <w:spacing w:after="0" w:line="256"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Building alterations, improvements and renewals</w:t>
      </w:r>
      <w:r>
        <w:rPr>
          <w:rFonts w:ascii="Times New Roman" w:cs="Times New Roman" w:eastAsia="Times New Roman" w:hAnsi="Times New Roman"/>
          <w:sz w:val="18"/>
          <w:szCs w:val="18"/>
          <w:color w:val="auto"/>
        </w:rPr>
        <w:t>. Generally, managers are required to prepare an annual estimate of the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for major repairs, alterations, improvements, renewals and replacements to the structural, mechanical, electrical, heating, ventilating, air conditioning, plumbing and elevators of each hotel, along with alterations and improvements to the hotel as are required, in the manager’s reasonable judgment, to keep the hotel in a competitive, efficient and economical operating condition that is consistent with brand standards. We generally have approval rights over such budgets and expenditures, which we review and approve based on our manager’s recommendations and on our judgment. Expenditures for these major repairs and improvements affecting the hotel building typically are funded directly by owners but may also be funded from the FF&amp;E reserve account.</w:t>
      </w:r>
    </w:p>
    <w:p>
      <w:pPr>
        <w:spacing w:after="0" w:line="74" w:lineRule="exact"/>
        <w:rPr>
          <w:rFonts w:ascii="Times New Roman" w:cs="Times New Roman" w:eastAsia="Times New Roman" w:hAnsi="Times New Roman"/>
          <w:sz w:val="18"/>
          <w:szCs w:val="18"/>
          <w:color w:val="auto"/>
        </w:rPr>
      </w:pPr>
    </w:p>
    <w:p>
      <w:pPr>
        <w:ind w:left="1300" w:right="20" w:hanging="644"/>
        <w:spacing w:after="0" w:line="255"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additional owner funding</w:t>
      </w:r>
      <w:r>
        <w:rPr>
          <w:rFonts w:ascii="Times New Roman" w:cs="Times New Roman" w:eastAsia="Times New Roman" w:hAnsi="Times New Roman"/>
          <w:sz w:val="18"/>
          <w:szCs w:val="18"/>
          <w:color w:val="auto"/>
        </w:rPr>
        <w:t>. As additional owner funding becomes necessary, whether due to the need for additional cash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hotels, for expenditures generally funded from the FF&amp;E replacement funds, or for any major repairs or improvements to the hotel building, which may be required to be funded directly by owners, most of our agreements provide for an economic benefit to us through an impact on the calculation of incentive management fees payable to our managers. One approach frequently utilized at some of our Marriott-managed hotels is to provide such owner funding through loans, which are repaid, with interest, from operational revenues, with the repayment amounts reducing operating profit available for payment of incentive management fees. Another approach that is used at many of our hotels is to treat such owner funding as an increase to our investment in the hotel, resulting in an increase to the owner’s priority return with a corresponding reduction to the amount of operating profit available for payment of incentive management fees.</w:t>
      </w:r>
    </w:p>
    <w:p>
      <w:pPr>
        <w:spacing w:after="0" w:line="76" w:lineRule="exact"/>
        <w:rPr>
          <w:rFonts w:ascii="Times New Roman" w:cs="Times New Roman" w:eastAsia="Times New Roman" w:hAnsi="Times New Roman"/>
          <w:sz w:val="18"/>
          <w:szCs w:val="18"/>
          <w:color w:val="auto"/>
        </w:rPr>
      </w:pPr>
    </w:p>
    <w:p>
      <w:pPr>
        <w:ind w:left="1300" w:right="60" w:hanging="644"/>
        <w:spacing w:after="0" w:line="267"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Territorial protections</w:t>
      </w:r>
      <w:r>
        <w:rPr>
          <w:rFonts w:ascii="Times New Roman" w:cs="Times New Roman" w:eastAsia="Times New Roman" w:hAnsi="Times New Roman"/>
          <w:sz w:val="18"/>
          <w:szCs w:val="18"/>
          <w:color w:val="auto"/>
        </w:rPr>
        <w:t>. Certain management and operating agreements impose restrictions for a specified period which limit the manager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its affiliates from owning, operating or licensing a hotel of the same brand within a specified area. The area restrictions vary with each hotel, from city blocks in urban areas to up to a multi-mile radius from the hotel in other areas.</w:t>
      </w:r>
    </w:p>
    <w:p>
      <w:pPr>
        <w:spacing w:after="0" w:line="65" w:lineRule="exact"/>
        <w:rPr>
          <w:rFonts w:ascii="Times New Roman" w:cs="Times New Roman" w:eastAsia="Times New Roman" w:hAnsi="Times New Roman"/>
          <w:sz w:val="18"/>
          <w:szCs w:val="18"/>
          <w:color w:val="auto"/>
        </w:rPr>
      </w:pPr>
    </w:p>
    <w:p>
      <w:pPr>
        <w:ind w:left="1300" w:hanging="644"/>
        <w:spacing w:after="0" w:line="261"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 of the hotel</w:t>
      </w:r>
      <w:r>
        <w:rPr>
          <w:rFonts w:ascii="Times New Roman" w:cs="Times New Roman" w:eastAsia="Times New Roman" w:hAnsi="Times New Roman"/>
          <w:sz w:val="18"/>
          <w:szCs w:val="18"/>
          <w:color w:val="auto"/>
        </w:rPr>
        <w:t>. Subject to specific agreements as to certain hotels (see below under “Special Termination Rights”), we generally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in our ability to sell, lease or otherwise transfer such hotels by the requirement that the transferee assumes the related management or operating agreements and meets specified other conditions, including the condition that the transferee not be a competitor of the manager.</w:t>
      </w:r>
    </w:p>
    <w:p>
      <w:pPr>
        <w:spacing w:after="0" w:line="71" w:lineRule="exact"/>
        <w:rPr>
          <w:rFonts w:ascii="Times New Roman" w:cs="Times New Roman" w:eastAsia="Times New Roman" w:hAnsi="Times New Roman"/>
          <w:sz w:val="18"/>
          <w:szCs w:val="18"/>
          <w:color w:val="auto"/>
        </w:rPr>
      </w:pPr>
    </w:p>
    <w:p>
      <w:pPr>
        <w:ind w:left="1300" w:right="20" w:hanging="644"/>
        <w:spacing w:after="0" w:line="254"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Termination Rights. </w:t>
      </w:r>
      <w:r>
        <w:rPr>
          <w:rFonts w:ascii="Times New Roman" w:cs="Times New Roman" w:eastAsia="Times New Roman" w:hAnsi="Times New Roman"/>
          <w:sz w:val="18"/>
          <w:szCs w:val="18"/>
          <w:color w:val="auto"/>
        </w:rPr>
        <w:t>In addition to any right to terminate that may arise as a result of a default by the manager, most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operating agreements include reserved rights for us to terminate on the basis of the manager’s failure to meet certain performance-based metrics, typically including a specified threshold return on the owner’s investment in the hotel, along with a failure of the hotel to achieve a specified RevPAR performance threshold established with reference to other competitive hotels in the market. Typically, such performance-based termination rights arise in the event the manager fails to achieve these specified performance thresholds over a consecutive two-year period and are subject to the manager’s ability to “cure” and avoid termination by payment to us of specified deficiency amounts (or, in some instances, waiver of the right to receive specified future management fees). We have agreed in the past, and may agree in the future, to waive certain of these termination rights in exchange for consideration from a manager or its affiliates, which consideration may include cash compensation or amendments to management agreements.</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300" w:right="160" w:hanging="644"/>
        <w:spacing w:after="0" w:line="256"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Termination Rights. </w:t>
      </w:r>
      <w:r>
        <w:rPr>
          <w:rFonts w:ascii="Times New Roman" w:cs="Times New Roman" w:eastAsia="Times New Roman" w:hAnsi="Times New Roman"/>
          <w:sz w:val="18"/>
          <w:szCs w:val="18"/>
          <w:color w:val="auto"/>
        </w:rPr>
        <w:t>In addition to any performance-based or other termination rights set forth in our management and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we have specific negotiated termination rights as to certain management and operating agreements. While the brand affiliation of a hotel may increase its value, the ability to dispose of a property unencumbered by a management or operating agreement or brand affiliation, also can increase the value for prospective purchasers. These termination rights can take several different forms, including termination of agreements upon sale that leave the property unencumbered by any management or operating agreement; termination upon sale provided that the property continues to be operated under a license or franchise agreement with continued brand affiliation; or termination without sale or other conditions, which may require the payment of a fee.</w:t>
      </w:r>
    </w:p>
    <w:p>
      <w:pPr>
        <w:spacing w:after="0" w:line="185"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In addition to hotels managed by brand owners, we have both branded hotels and non-branded hotels operated by independent managers. Our management agreements with independent managers, while similar in operational scope to agreements with our brand managers, typically have shorter initial terms, no renewal rights, more flexible termination rights, and more limited system-wide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Franchise Agreements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Many of our hotels managed by independent managers are affiliated with the Marriott or Hilton brand through the use of a license or franchise agreement. These franchise or licensing agreements allow us to engage independent managers to operate our hotels under the applicable brand names and to participate in the brands’ reservation and loyalty-rewards systems. These franchise or license agreements address matters pertaining to the use of the designated brand, including the rights to use trademarks, service marks and logos, matters relating to the compliance with certain brand standards and policies which we are required to maintain, and the provision of certain system programs (including reservations) and centralized services. The term of these license agreements generally are 20 years. Licensors receive compensation in the form of license fees, generally a specified percentage, typically 5%, of gross revenues attributable to room sales and, in certain instances, a certain percentage, typically 2%, of gross revenues attributable to food and beverage sales. The hotel also pays the franchise or licensor certain system fees and reimbursable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Structure</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Host Inc. operates through an umbrella partnership structure in which substantially all its assets are owned by Host L.P., of which Host Inc. is the sole general partner and holds approximately 99% of the OP units as of December 31, 2025. A REIT is a corporation that has elected to be treated as a REIT under the Internal Revenue Code of 1986, as amended (the “Code”), and that meets certain ownership, organizational and operating requirements set forth under the Code. In general, by payments of dividends to stockholders, a REIT is permitted to reduce or eliminate federal income taxes at the corporate level. Each OP unit owned by unaffiliated limited partners other than Host Inc. is redeemable, at the option of the limited partner, for an amount of cash equal to the market value of one share of Host Inc. common stock multiplied by the current conversion factor of 1.021494. Host Inc. has the right to acquire any OP unit offered for redemption directly from the limited partner in exchange for 1.021494 shares of Host Inc. common stock instead of Host L.P. redeeming such OP unit for cash. Additionally, for every share of common stock issued by Host Inc., Host L.P. will issue 0.97895 OP units to Host Inc. in exchange for the consideration received from the issuance of the common stock. As of December 31, 2025, unaffiliated limited partners owned 9.4 million OP units, which were convertible into 9.6 million Host Inc. common shares.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Assuming that all OP units held by unaffiliated limited partners were converted into common shares, there would have been 697.4 million common shares of Host Inc. outstanding at December 31, 2025.</w:t>
      </w:r>
    </w:p>
    <w:p>
      <w:pPr>
        <w:spacing w:after="0" w:line="16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Our operating structure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154305</wp:posOffset>
            </wp:positionV>
            <wp:extent cx="3823335" cy="2383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23335"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a REIT, certain tax laws limit the amount of “non-qualifying” income that Host Inc. and Host L.P. can earn, including income derived directly from the operation of hotels. As a result, we lease substantially all our consolidated hotels to certain of our subsidiaries designated as taxable REIT subsidiaries (“TRS”) for federal income tax purposes. Our TRS are subject to federal and state corporate income tax and are not limited as to the amount of non-qualifying income they can generate, but they are limited in terms of their value as a percentage of the total value of our assets. Our TRS enter into agreements with third parties to manage the operations of the hotels. Our TRS also may own assets engaging in activities that produce non-qualifying income, such as the development of timeshare or condominium units and the generation of asset management fees, subject to certain restrictions. In general, the difference between the hotels’ net operating cash flow and the aggregate rents paid to Host L.P. is retained or incurred by our TRS as taxable income or loss. Accordingly, the net effect of the TRS leases is that a portion of the net operating cash flow from our hotels is subject to federal, state and, if applicable, foreign corporate income tax.</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Consolidated Hotel Portfolio</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February 20, 2026, we owned a portfolio of 76 hotels, of which 71 are in the United States and five are located in Brazil and Canada. Our consolidated hotels located outside the United States collectively have approximately 1,500 rooms. Approximately 2% of our hotel revenues in 2025, 2024 and 2023 were attributed to the operations of these five foreign hotels.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lodging industry is viewed as consisting of six different categories, each of which caters to a discrete set of customer tastes and needs: luxury, upper upscale, upscale, upper midscale, midscale and economy. Our portfolio primarily consists of luxury and upper upscale properties, which are operated under internationally recognized brand names such as Marriott, Westin, Ritz-Carlton, Hyatt and Hilton. Our portfolio also includes hotels referred to as “soft-branded” that are associated with a major brand chain, but maintain a unique identity that is customized towards a particular customer profile or authentic location.</w:t>
      </w:r>
    </w:p>
    <w:p>
      <w:pPr>
        <w:spacing w:after="0" w:line="18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Revenues earned at our hotels consist of three broad categories: rooms, food and beverage, and other revenues. While approximately 60% of our hotel revenues in 2025 were generated from rooms sales, the majority of our properties feature a variety of amenities that help drive demand and profitability. Our hotels typically include meeting and banquet facilities, a variety of restaurants and lounges, swimming pools, exercise facilities and/or spas, gift shops and parking facilities, the combination of which enable them to serve business, leisure and group travelers.</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consolidated portfolio includes 29 hotels that have more than 500 rooms. The average age of our properties is 38 years, although substantially all of them have benefited from significant renovations or major additions, as well as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regularly scheduled renewal and replacement expenditures and other capital improvements. In our consolidated portfolio, approximately 89% of our hotels, by room count, are managed by their own brand managers, and 11% are managed by independent managers as a franchise or as an independent brand.</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By Brand. </w:t>
      </w:r>
      <w:r>
        <w:rPr>
          <w:rFonts w:ascii="Times New Roman" w:cs="Times New Roman" w:eastAsia="Times New Roman" w:hAnsi="Times New Roman"/>
          <w:sz w:val="18"/>
          <w:szCs w:val="18"/>
          <w:color w:val="auto"/>
        </w:rPr>
        <w:t>The following table details our consolidated hotel portfolio by brand as of February 20, 2026:</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46"/>
        </w:trPr>
        <w:tc>
          <w:tcPr>
            <w:tcW w:w="6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Brand</w:t>
            </w:r>
          </w:p>
        </w:tc>
        <w:tc>
          <w:tcPr>
            <w:tcW w:w="1440" w:type="dxa"/>
            <w:vAlign w:val="bottom"/>
            <w:gridSpan w:val="2"/>
            <w:vMerge w:val="continue"/>
          </w:tcPr>
          <w:p>
            <w:pPr>
              <w:spacing w:after="0"/>
              <w:rPr>
                <w:sz w:val="12"/>
                <w:szCs w:val="12"/>
                <w:color w:val="auto"/>
              </w:rPr>
            </w:pPr>
          </w:p>
        </w:tc>
        <w:tc>
          <w:tcPr>
            <w:tcW w:w="14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Rooms</w:t>
            </w: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2025 Hotel Revenues</w:t>
            </w:r>
          </w:p>
        </w:tc>
        <w:tc>
          <w:tcPr>
            <w:tcW w:w="0" w:type="dxa"/>
            <w:vAlign w:val="bottom"/>
          </w:tcPr>
          <w:p>
            <w:pPr>
              <w:spacing w:after="0"/>
              <w:rPr>
                <w:sz w:val="1"/>
                <w:szCs w:val="1"/>
                <w:color w:val="auto"/>
              </w:rPr>
            </w:pPr>
          </w:p>
        </w:tc>
      </w:tr>
      <w:tr>
        <w:trPr>
          <w:trHeight w:val="148"/>
        </w:trPr>
        <w:tc>
          <w:tcPr>
            <w:tcW w:w="6860" w:type="dxa"/>
            <w:vAlign w:val="bottom"/>
            <w:gridSpan w:val="2"/>
            <w:vMerge w:val="continue"/>
          </w:tcPr>
          <w:p>
            <w:pPr>
              <w:spacing w:after="0"/>
              <w:rPr>
                <w:sz w:val="12"/>
                <w:szCs w:val="12"/>
                <w:color w:val="auto"/>
              </w:rPr>
            </w:pPr>
          </w:p>
        </w:tc>
        <w:tc>
          <w:tcPr>
            <w:tcW w:w="144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of Hotels</w:t>
            </w:r>
          </w:p>
        </w:tc>
        <w:tc>
          <w:tcPr>
            <w:tcW w:w="1440" w:type="dxa"/>
            <w:vAlign w:val="bottom"/>
            <w:gridSpan w:val="2"/>
            <w:vMerge w:val="continue"/>
          </w:tcPr>
          <w:p>
            <w:pPr>
              <w:spacing w:after="0"/>
              <w:rPr>
                <w:sz w:val="12"/>
                <w:szCs w:val="12"/>
                <w:color w:val="auto"/>
              </w:rPr>
            </w:pPr>
          </w:p>
        </w:tc>
        <w:tc>
          <w:tcPr>
            <w:tcW w:w="1500" w:type="dxa"/>
            <w:vAlign w:val="bottom"/>
          </w:tcPr>
          <w:p>
            <w:pPr>
              <w:jc w:val="center"/>
              <w:spacing w:after="0" w:line="104" w:lineRule="exact"/>
              <w:rPr>
                <w:sz w:val="20"/>
                <w:szCs w:val="20"/>
                <w:color w:val="auto"/>
              </w:rPr>
            </w:pPr>
            <w:r>
              <w:rPr>
                <w:rFonts w:ascii="MS PGothic" w:cs="MS PGothic" w:eastAsia="MS PGothic" w:hAnsi="MS PGothic"/>
                <w:sz w:val="9"/>
                <w:szCs w:val="9"/>
                <w:color w:val="auto"/>
              </w:rPr>
              <w:t>⁽</w:t>
            </w:r>
            <w:r>
              <w:rPr>
                <w:rFonts w:ascii="Times New Roman" w:cs="Times New Roman" w:eastAsia="Times New Roman" w:hAnsi="Times New Roman"/>
                <w:sz w:val="9"/>
                <w:szCs w:val="9"/>
                <w:b w:val="1"/>
                <w:bCs w:val="1"/>
                <w:color w:val="auto"/>
              </w:rPr>
              <w:t>¹</w:t>
            </w:r>
            <w:r>
              <w:rPr>
                <w:rFonts w:ascii="MS PGothic" w:cs="MS PGothic" w:eastAsia="MS PGothic" w:hAnsi="MS PGothic"/>
                <w:sz w:val="9"/>
                <w:szCs w:val="9"/>
                <w:color w:val="auto"/>
              </w:rPr>
              <w:t>⁾</w:t>
            </w:r>
          </w:p>
        </w:tc>
        <w:tc>
          <w:tcPr>
            <w:tcW w:w="0" w:type="dxa"/>
            <w:vAlign w:val="bottom"/>
          </w:tcPr>
          <w:p>
            <w:pPr>
              <w:spacing w:after="0"/>
              <w:rPr>
                <w:sz w:val="1"/>
                <w:szCs w:val="1"/>
                <w:color w:val="auto"/>
              </w:rPr>
            </w:pPr>
          </w:p>
        </w:tc>
      </w:tr>
      <w:tr>
        <w:trPr>
          <w:trHeight w:val="223"/>
        </w:trPr>
        <w:tc>
          <w:tcPr>
            <w:tcW w:w="67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Marriott:</w:t>
            </w:r>
          </w:p>
        </w:tc>
        <w:tc>
          <w:tcPr>
            <w:tcW w:w="10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Marriott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Ritz-Carlton</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6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Autograph Collection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68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Tribute Portfolio</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6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JW Marriott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68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 Hotels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6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68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Luxury Collection</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6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Westin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Sheraton</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68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Marriott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Hyatt:</w:t>
            </w: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Alila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68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Andaz</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6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Grand Hyatt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68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Hyatt Place</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Hyatt Regency</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686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Hyatt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Hilton:</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Curio</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Embassy Suites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686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Hilton</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AccorHotels: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Swissôtel</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6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Fairmont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ibis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Novotel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686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AccorHotels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Hotel</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Other/Independent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41,677</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21" w:lineRule="exact"/>
        <w:rPr>
          <w:sz w:val="20"/>
          <w:szCs w:val="20"/>
          <w:color w:val="auto"/>
        </w:rPr>
      </w:pPr>
    </w:p>
    <w:p>
      <w:pPr>
        <w:ind w:left="340" w:right="380" w:hanging="332"/>
        <w:spacing w:after="0" w:line="259"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Sold hotels accounted for 6% of our hotel revenues. No individual hotel contributed more than 6% of hotel revenues in 2025. Hotels that are not considered upper upscale or luxury constitute approximately 1% of our hotel revenues. This table excludes revenues from sales of condominium units adjacent to the Four Seasons Resort Orlando at Walt Disney World</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Resort, which represented 2% of total revenues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By Location. </w:t>
      </w:r>
      <w:r>
        <w:rPr>
          <w:rFonts w:ascii="Times New Roman" w:cs="Times New Roman" w:eastAsia="Times New Roman" w:hAnsi="Times New Roman"/>
          <w:sz w:val="18"/>
          <w:szCs w:val="18"/>
          <w:color w:val="auto"/>
        </w:rPr>
        <w:t>The following table details the locations and numbers of rooms at our consolidated hotels as of February 20, 2026:</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Rooms</w:t>
            </w:r>
          </w:p>
        </w:tc>
        <w:tc>
          <w:tcPr>
            <w:tcW w:w="100" w:type="dxa"/>
            <w:vAlign w:val="bottom"/>
          </w:tcPr>
          <w:p>
            <w:pPr>
              <w:spacing w:after="0"/>
              <w:rPr>
                <w:sz w:val="16"/>
                <w:szCs w:val="16"/>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Rooms</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Arizona</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Hawaii</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 Hotel Scottsdale North</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Andaz Maui at Wailea Resort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Phoenician, A Luxury Collection Resort, Scottsdale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Fairmont Kea Lani, Maui</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Westin Kierland Resort &amp; Spa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Hyatt Place Waikiki Beach</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Hyatt Regency Maui Resort and Spa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Alila Ventana Big Sur</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Ritz-Carlton O'ahu, Turtle Bay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Axiom Hotel</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Illinois</w:t>
            </w:r>
          </w:p>
        </w:tc>
        <w:tc>
          <w:tcPr>
            <w:tcW w:w="7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760" w:type="dxa"/>
            <w:vAlign w:val="bottom"/>
            <w:gridSpan w:val="2"/>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Coronado Island Marriott Resort &amp; Spa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Embassy Suites by Hilton Chicago Downtown Magnificent</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760" w:type="dxa"/>
            <w:vAlign w:val="bottom"/>
            <w:gridSpan w:val="2"/>
            <w:vMerge w:val="continue"/>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Mile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Grand Hyatt San Francisco</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Swissôtel Chicago</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Hyatt Regency San Francisco Airport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Westin Chicago River North</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76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Manchester Grand Hyatt San Diego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Louisiana</w:t>
            </w:r>
          </w:p>
        </w:tc>
        <w:tc>
          <w:tcPr>
            <w:tcW w:w="7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7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Marina del Rey Marriott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Orleans Marriott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76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Marriott Marquis San Diego Marina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7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Francisco Marriott Fisherman's Wharf</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Gaithersburg Marriott Washingtonian Center</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76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San Francisco Marriott Marquis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7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7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Santa Clara Marriott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47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Boston Marriott Copley Place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76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The Ritz-Carlton, Marina del Rey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Westin Waltham Boston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7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The Westin South Coast Plaza, Costa Mesa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Minnesota</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Colorado</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Minneapolis Marriott City Center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Denver Marriott Tech Center</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Jersey</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76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Denver Marriott West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Newark Liberty International Airport Marriott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Westin Denver Downtown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Sheraton Parsippany Hotel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New York</w:t>
            </w:r>
          </w:p>
        </w:tc>
        <w:tc>
          <w:tcPr>
            <w:tcW w:w="7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Hotel South Beach</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Hotel Central Park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Baker's Cay Resort Key Largo, Curio Collection by Hilton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Marriott Downtown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Hyatt Regency Coconut Point Resort and Spa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Marriott Marquis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Miami Marriott Biscayne Bay</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Pennsylvania</w:t>
            </w:r>
          </w:p>
        </w:tc>
        <w:tc>
          <w:tcPr>
            <w:tcW w:w="7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Orlando World Center Marriott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tcPr>
          <w:p>
            <w:pPr>
              <w:spacing w:after="0"/>
              <w:rPr>
                <w:sz w:val="19"/>
                <w:szCs w:val="19"/>
                <w:color w:val="auto"/>
              </w:rPr>
            </w:pPr>
          </w:p>
        </w:tc>
        <w:tc>
          <w:tcPr>
            <w:tcW w:w="47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Philadelphia Airport Marriott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76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Tampa Airport Marriott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Logan Philadelphia, Curio Collection by Hilton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Don CeSar</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Tennessee</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Ritz-Carlton, Amelia Island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 Hotel Nashville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Ritz-Carlton, Naples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Embassy Suites by Hilton Nashville Downtown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Ritz-Carlton Naples, Tiburón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7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Singer Oceanfront Resort, Curio Collection by Hilton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Hotel Van Zandt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Houston Airport Marriott at George Bush Intercontinental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³</w:t>
            </w:r>
            <w:r>
              <w:rPr>
                <w:rFonts w:ascii="MS PGothic" w:cs="MS PGothic" w:eastAsia="MS PGothic" w:hAnsi="MS PGothic"/>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Alida, Savannah, a Tribute Portfolio Hotel</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47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Houston Marriott Medical Center/Museum District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Grand Hyatt Atlanta in Buckhead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Hyatt Regency Austin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JW Marriott Atlanta Buckhead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0"/>
                <w:szCs w:val="20"/>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JW Marriott Houston by The Galleria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0"/>
        </w:trPr>
        <w:tc>
          <w:tcPr>
            <w:tcW w:w="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80" w:type="dxa"/>
            <w:vAlign w:val="bottom"/>
            <w:gridSpan w:val="2"/>
          </w:tcPr>
          <w:p>
            <w:pPr>
              <w:jc w:val="right"/>
              <w:ind w:right="4490"/>
              <w:spacing w:after="0"/>
              <w:rPr>
                <w:sz w:val="20"/>
                <w:szCs w:val="20"/>
                <w:color w:val="auto"/>
              </w:rPr>
            </w:pPr>
            <w:r>
              <w:rPr>
                <w:rFonts w:ascii="Times New Roman" w:cs="Times New Roman" w:eastAsia="Times New Roman" w:hAnsi="Times New Roman"/>
                <w:sz w:val="18"/>
                <w:szCs w:val="18"/>
                <w:color w:val="auto"/>
                <w:w w:val="99"/>
              </w:rPr>
              <w:t>13</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8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642"/>
        </w:trPr>
        <w:tc>
          <w:tcPr>
            <w:tcW w:w="8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3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9"/>
        </w:trPr>
        <w:tc>
          <w:tcPr>
            <w:tcW w:w="8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Texas (cont.)</w:t>
            </w:r>
          </w:p>
        </w:tc>
        <w:tc>
          <w:tcPr>
            <w:tcW w:w="780" w:type="dxa"/>
            <w:vAlign w:val="bottom"/>
            <w:shd w:val="clear" w:color="auto" w:fill="CCEEFF"/>
          </w:tcPr>
          <w:p>
            <w:pPr>
              <w:spacing w:after="0"/>
              <w:rPr>
                <w:sz w:val="19"/>
                <w:szCs w:val="19"/>
                <w:color w:val="auto"/>
              </w:rPr>
            </w:pPr>
          </w:p>
        </w:tc>
        <w:tc>
          <w:tcPr>
            <w:tcW w:w="4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Washington, D.C. (cont.)</w:t>
            </w:r>
          </w:p>
        </w:tc>
        <w:tc>
          <w:tcPr>
            <w:tcW w:w="78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47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San Antonio Marriott Rivercenter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Hyatt Regency Washington on Capitol Hill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9"/>
        </w:trPr>
        <w:tc>
          <w:tcPr>
            <w:tcW w:w="8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 Antonio Marriott Riverwalk</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4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JW Marriott Washington, DC</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29"/>
        </w:trPr>
        <w:tc>
          <w:tcPr>
            <w:tcW w:w="8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Laura Hotel, Houston Downtown, Autograph Collection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Westin Georgetown, Washington D.C.</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8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Virginia</w:t>
            </w:r>
          </w:p>
        </w:tc>
        <w:tc>
          <w:tcPr>
            <w:tcW w:w="780" w:type="dxa"/>
            <w:vAlign w:val="bottom"/>
            <w:shd w:val="clear" w:color="auto" w:fill="CCEEFF"/>
          </w:tcPr>
          <w:p>
            <w:pPr>
              <w:spacing w:after="0"/>
              <w:rPr>
                <w:sz w:val="19"/>
                <w:szCs w:val="19"/>
                <w:color w:val="auto"/>
              </w:rPr>
            </w:pPr>
          </w:p>
        </w:tc>
        <w:tc>
          <w:tcPr>
            <w:tcW w:w="4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Brazil</w:t>
            </w:r>
          </w:p>
        </w:tc>
        <w:tc>
          <w:tcPr>
            <w:tcW w:w="78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Hyatt Regency Reston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ibis Rio de Janeiro Parque Olimpico</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80" w:type="dxa"/>
            <w:vAlign w:val="bottom"/>
          </w:tcPr>
          <w:p>
            <w:pPr>
              <w:spacing w:after="0"/>
              <w:rPr>
                <w:sz w:val="19"/>
                <w:szCs w:val="19"/>
                <w:color w:val="auto"/>
              </w:rPr>
            </w:pPr>
          </w:p>
        </w:tc>
        <w:tc>
          <w:tcPr>
            <w:tcW w:w="472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The Ritz-Carlton, Tysons Corner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4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JW Marriott Hotel Rio de Janeiro</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29"/>
        </w:trPr>
        <w:tc>
          <w:tcPr>
            <w:tcW w:w="8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Washington</w:t>
            </w:r>
          </w:p>
        </w:tc>
        <w:tc>
          <w:tcPr>
            <w:tcW w:w="780" w:type="dxa"/>
            <w:vAlign w:val="bottom"/>
          </w:tcPr>
          <w:p>
            <w:pPr>
              <w:spacing w:after="0"/>
              <w:rPr>
                <w:sz w:val="19"/>
                <w:szCs w:val="19"/>
                <w:color w:val="auto"/>
              </w:rPr>
            </w:pPr>
          </w:p>
        </w:tc>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Novotel Rio de Janeiro Parque Olimpico</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8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Westin Seattle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4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78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 Seattle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Calgary Marriott Downtown Hotel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29"/>
        </w:trPr>
        <w:tc>
          <w:tcPr>
            <w:tcW w:w="8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Washington, D.C.</w:t>
            </w:r>
          </w:p>
        </w:tc>
        <w:tc>
          <w:tcPr>
            <w:tcW w:w="780" w:type="dxa"/>
            <w:vAlign w:val="bottom"/>
            <w:shd w:val="clear" w:color="auto" w:fill="CCEEFF"/>
          </w:tcPr>
          <w:p>
            <w:pPr>
              <w:spacing w:after="0"/>
              <w:rPr>
                <w:sz w:val="19"/>
                <w:szCs w:val="19"/>
                <w:color w:val="auto"/>
              </w:rPr>
            </w:pPr>
          </w:p>
        </w:tc>
        <w:tc>
          <w:tcPr>
            <w:tcW w:w="4800" w:type="dxa"/>
            <w:vAlign w:val="bottom"/>
            <w:shd w:val="clear" w:color="auto" w:fill="CCEEFF"/>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Marriott Downtown at CF Toronto Eaton Centre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23"/>
        </w:trPr>
        <w:tc>
          <w:tcPr>
            <w:tcW w:w="8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Grand Hyatt Washington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4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41,677</w:t>
            </w:r>
          </w:p>
        </w:tc>
      </w:tr>
      <w:tr>
        <w:trPr>
          <w:trHeight w:val="20"/>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w:t>
      </w:r>
    </w:p>
    <w:p>
      <w:pPr>
        <w:spacing w:after="0" w:line="11"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land on which this hotel is built is leased from a third party under one or more lease agreements.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land, building and improvements are leased from a third party under a long-term lease agreement.</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property is not wholly owned.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By Market Location: </w:t>
      </w:r>
      <w:r>
        <w:rPr>
          <w:rFonts w:ascii="Times New Roman" w:cs="Times New Roman" w:eastAsia="Times New Roman" w:hAnsi="Times New Roman"/>
          <w:sz w:val="18"/>
          <w:szCs w:val="18"/>
          <w:color w:val="auto"/>
        </w:rPr>
        <w:t>With our geographically diverse portfolio, no individual market represents more than 9% of total hotel revenues.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chart summarizes the composition of our consolidated hotels as of February 20, 2026 by each market location based on its percentage of 2025 hotel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122555</wp:posOffset>
            </wp:positionV>
            <wp:extent cx="4800600" cy="3771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0060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right="260" w:hanging="328"/>
        <w:spacing w:after="0" w:line="282" w:lineRule="auto"/>
        <w:tabs>
          <w:tab w:leader="none" w:pos="65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our 2025 hotel revenues; sold hotels accounted for 6% of our hotel revenues. This table excludes revenues from sales of condominium units adjacent to the Four Seasons Resort Orlando at Walt Disney World</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Resort, which represented 2% of total revenues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Interests</w:t>
      </w:r>
    </w:p>
    <w:p>
      <w:pPr>
        <w:spacing w:after="0" w:line="229"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We own non-controlling interests in several entities that, as of February 20, 2026, owned, or owned an interest in, 90 properties and a vacation ownership development. Due to the ownership structure and economic or participating rights of our partners, we do not consolidate the operations of the properties owned by these entities and they are included in equity in earnings in our consolidated results of operations. Our investments in these entities include the following:</w:t>
      </w:r>
    </w:p>
    <w:p>
      <w:pPr>
        <w:spacing w:after="0" w:line="17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Noble Joint Venture. </w:t>
      </w:r>
      <w:r>
        <w:rPr>
          <w:rFonts w:ascii="Times New Roman" w:cs="Times New Roman" w:eastAsia="Times New Roman" w:hAnsi="Times New Roman"/>
          <w:sz w:val="18"/>
          <w:szCs w:val="18"/>
          <w:color w:val="auto"/>
        </w:rPr>
        <w:t>While our primary focus is the upper-upscale and luxury chain scales, we also seek opportunities to elevate our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profile through investment in select service hotels, extended stay hotels and new development deals. Accordingly, in 2022, we entered into definitive agreements with Noble Investment Group, LLC, a leading private hospitality asset manager in the upscale, select service and extended stay chain scales, and certain other entities and persons related to Noble Investment Group, LLC, to acquire a minority equity interest in Noble Management Holdings, LLC and Noble Investment Holdings, LLC representing 49% of (a) the net fee income of the Noble Investment Group business in respect of existing and future Noble Investment Group funds and other revenue-based activities, (b) 40% of the gross carried interest earned on Noble Fund V (as defined below), and (c) proceeds earned by the general partner on commitments to future funds. As part of our investment, we have made a $211.5 million capital commitment to Noble Hospitality Fund V, L.P. ("Noble Fund V"), which represents a 21.15% ownership interest in the fund. As of December 31, 2025, we have funded $144 million to Noble Fund V and funded an additional $23 million subsequent to year end. Additionally, through a co-investment of Noble Fund V, we have committed an additional $30 million of which we have funded $29 million. Noble Fund V and the co-investment currently own 87 select service and extended stay hotels and 17 land sites to be developed. In December 2025, we entered into an omnibus amendment to the definitive agreements with</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Noble parties, under which, amongst other items, we made a commitment to fund an amount equal to 10% of Noble Hospitality Fund VI, L.P. (“Noble Fund VI”), regardless of the ultimate size of Noble Fund VI.</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Additionally, under the omnibus agreement, the previous put right of Noble Investment Group, LLC and our call right that would have been enabled in 2026 upon certain triggers being met, has been replaced with an exercise window in 2030 under which we have the ability to acquire up to 100% of Noble Management Holdings, LLC and Noble Investment Holdings, LLC. If we do not exercise our call right, Noble Investment Group, LLC has a one-time ability, but not the obligation, to exercise a put right to cause us to purchase up to an additional 26% of Noble Management Holdings, LLC and Noble Investment Holdings, LLC at a fixed price of $56 million.</w:t>
      </w:r>
    </w:p>
    <w:p>
      <w:pPr>
        <w:spacing w:after="0" w:line="181"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Maui Joint Venture. </w:t>
      </w:r>
      <w:r>
        <w:rPr>
          <w:rFonts w:ascii="Times New Roman" w:cs="Times New Roman" w:eastAsia="Times New Roman" w:hAnsi="Times New Roman"/>
          <w:sz w:val="18"/>
          <w:szCs w:val="18"/>
          <w:color w:val="auto"/>
        </w:rPr>
        <w:t>We own a 67% interest in a joint venture with an affiliate of HV Global Group, a subsidiary of Marriott Vacations Worldwide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that owns a 131-unit vacation ownership development in Maui, Hawaii adjacent to our Hyatt Regency Maui Resort &amp; Spa.</w:t>
      </w:r>
    </w:p>
    <w:p>
      <w:pPr>
        <w:spacing w:after="0" w:line="158"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Hyatt Place Joint Venture</w:t>
      </w:r>
      <w:r>
        <w:rPr>
          <w:rFonts w:ascii="Times New Roman" w:cs="Times New Roman" w:eastAsia="Times New Roman" w:hAnsi="Times New Roman"/>
          <w:sz w:val="18"/>
          <w:szCs w:val="18"/>
          <w:color w:val="auto"/>
        </w:rPr>
        <w:t>. We own a 50% interest in a joint venture with White Lodging Services that owns the 255-room Hyatt Place Nashville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Downtown in Tennessee. In August 2024, the joint venture completed an amendment and restatement of its $60 million mortgage loan agreement, extending its maturity to August 2, 2029. The loan is non-recourse to us.</w:t>
      </w:r>
    </w:p>
    <w:p>
      <w:pPr>
        <w:spacing w:after="0" w:line="173"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Harbor Beach Joint Venture. </w:t>
      </w:r>
      <w:r>
        <w:rPr>
          <w:rFonts w:ascii="Times New Roman" w:cs="Times New Roman" w:eastAsia="Times New Roman" w:hAnsi="Times New Roman"/>
          <w:sz w:val="18"/>
          <w:szCs w:val="18"/>
          <w:color w:val="auto"/>
        </w:rPr>
        <w:t>We own a 49.9% interest in a joint venture with R/V-C Association that owns the 650-room Fort Lauderdale Marriott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Harbor Beach Resort &amp; Spa in Florida. The joint venture has a $176 million mortgage loan outstanding on the hotel that is non-recourse to us.</w:t>
      </w:r>
    </w:p>
    <w:p>
      <w:pPr>
        <w:spacing w:after="0" w:line="158"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Asia/Pacific Joint Venture. </w:t>
      </w:r>
      <w:r>
        <w:rPr>
          <w:rFonts w:ascii="Times New Roman" w:cs="Times New Roman" w:eastAsia="Times New Roman" w:hAnsi="Times New Roman"/>
          <w:sz w:val="18"/>
          <w:szCs w:val="18"/>
          <w:color w:val="auto"/>
        </w:rPr>
        <w:t>We have a 25% interest in a joint venture with RECO Hotels JV Private Limited, an affiliate of the Government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Singapore Investment Corporation Pte Ltd. In 2025, the joint venture sold its 36% share in two separate joint ventures in India to the existing shareholders thereof, representing our exit from our Asia investment.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see Part II Item 8. “Financial Statements and Supplementary Data – Note 4. Investments in Affiliates.”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The lodging industry is highly competitive. Competition often is specific to individual markets and is based on several factors, including location, brand, guest facilities and amenities, level of service, room rates and the quality of accommodations. The lodging industry is viewed as consisting of six different categories, each of which caters to a discrete set of customer tastes and needs: luxury, upper upscale, upscale, upper midscale, midscale and economy. The classification of a hotel is based on lodging industry standards, which take into consideration many factors, such as guest facilities and amenities, level of service and quality of accommodations. Most of our hotels operate in urban and resort markets either as luxury properties under such brand names as 1 Hotels</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Alila</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,Andaz</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Fairmont</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Grand Hyatt</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JW Marriott</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Ritz-Carlton</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The Don Cesar</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The Luxury Collection</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xml:space="preserve"> and W</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or as upper upscale properties under such brand names as Autograph Collection</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Curio – A Collection by Hilton</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xml:space="preserve">, Embassy Suites by Hilton </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Hyatt Regency</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Marriott</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Marriott Marquis</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Swissôtel</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,Tribute Portfolio</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xml:space="preserve"> and Westin</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 xml:space="preserve"> While our hotels compete primarily with other hotels in the luxury and upper upscale category, they also may compete with hotels in other lower-tier categories. A recent source of supply for the lodging industry has been the rapid growth of online short-term rentals, including as a flexible option for apartment buildings. Our hotels also may compete with these short-term rentals in certain markets. In addition, many management contracts for our hotels do not prohibit our managers from converting, franchising or developing other hotels in our markets. As a result, our hotels compete with other hotels that our managers may own, invest in, manage or franchise.</w:t>
      </w:r>
    </w:p>
    <w:p>
      <w:pPr>
        <w:spacing w:after="0" w:line="19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also compete with other REITs and other public and private investors for the acquisition of new properties and investment opportunities as we attempt to position our portfolio to best take advantage of changes in markets and travel patterns of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714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5" w:lineRule="exact"/>
        <w:rPr>
          <w:sz w:val="20"/>
          <w:szCs w:val="20"/>
          <w:color w:val="auto"/>
        </w:rPr>
      </w:pPr>
    </w:p>
    <w:p>
      <w:pPr>
        <w:ind w:right="220" w:firstLine="8"/>
        <w:spacing w:after="0" w:line="205" w:lineRule="auto"/>
        <w:tabs>
          <w:tab w:leader="none" w:pos="103"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This annual report contains registered trademarks that are the exclusive property of their respective owners, which are companies other than us. None of the owners of these trademarks, their affiliates or any of their respective officers, directors, agents or employees has or will have any responsibility or liability for any information contained in this annual report.</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hotel sales traditionally have experienced moderate seasonality, which varies based on the individual hotel and the region. Hotel sales for our consolidated portfolio were approximately 27%, 26%, 22% and 25% for the first, second, third and fourth calendar quarters, respectively,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Governmental and Regulatory Matters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Under various federal, state and local environmental laws, ordinances and regulations, a current or previous owner or operator of real property may be liable for the costs of removal or remediation of hazardous or toxic substances. These laws may impose liability whether or not the owner or operator knew of, or was responsible for, the presence of such hazardous or toxic substances. In addition, certain environmental laws and common law principles could be used to impose liability for the release of hazardous or toxic materials, and third parties may seek recovery from owners or operators of real properties for personal injury associated with exposure to released hazardous or toxic materials. Environmental laws also may impose restrictions on the way property may be used or businesses may be operated, and these restrictions may require corrective or other expenditures. In connection with our current or prior ownership or operation of hotels, we potentially may be liable for various environmental costs or liabilities. Although currently we are not aware of any material environmental claims pending or threatened against us, we can offer no assurance that a material environmental claim will not be asserted against us in the future.</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hotels also are subject to various other forms of regulation, including Title III of the Americans with Disabilities Act (“ADA”), building codes and regulations pertaining to fire and life safety. Under the ADA, all public accommodations are required to meet certain federal rules related to access and use by disabled persons and we have in the past and may in the future incur capital expenditures to make our hotels accessible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These and other building laws and regulations may be changed from time to time, or new regulations adopted, resulting in additional costs of compliance, including potential litigation. A determination that we are not in compliance with these laws and regulations could result in a court order to bring the hotel into compliance, the imposition of civil penalties in cases brought by the Justice Department or an award of attorneys’ fees to private litigants. Compliance with these laws and regulations could require substantial capital expenditures.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right="120" w:firstLine="648"/>
        <w:spacing w:after="0" w:line="272" w:lineRule="auto"/>
        <w:rPr>
          <w:sz w:val="20"/>
          <w:szCs w:val="20"/>
          <w:color w:val="auto"/>
        </w:rPr>
      </w:pPr>
      <w:r>
        <w:rPr>
          <w:rFonts w:ascii="Times New Roman" w:cs="Times New Roman" w:eastAsia="Times New Roman" w:hAnsi="Times New Roman"/>
          <w:sz w:val="17"/>
          <w:szCs w:val="17"/>
          <w:color w:val="auto"/>
        </w:rPr>
        <w:t>As of February 20, 2026, we had 162 employees, all of whom work in the United States. The current average tenure of our employees is approximately 14 years, and the voluntary and total turnover rates in 2025 were 4% and 5%, respectively. Our human capital objectives include encouraging individual contributions, reinforcing Host’s EPIC values and culture, maximizing employee engagement and retention and minimizing organizational disruption through succession action plans. Our employees are given the opportunity to participate in training and education programs such as external training, professional certifications, executive and leadership coaching, continuing education and professional memberships. Additionally, all employees receive annual performance reviews that incorporate our EPIC values and our competencies, which include adaptability, communication, teamwork and complete thinking. We encourage regular and ongoing feedback tied to performance and career development. To track our progress against our human capital objectives, we conduct employee surveys to obtain feedback on various topics, informing how we execute on specific programs.</w:t>
      </w:r>
    </w:p>
    <w:p>
      <w:pPr>
        <w:spacing w:after="0" w:line="17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our total workforce consists of 45% men and 55% women, with 54% of management positions held by men and 46% of management positions held by women. Our workforce also consists of 37% minorities, with 21% of management positions held by minorities.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number of employees referenced above does not include the hotel employees of our three hotels in Brazil, which, while technically Host employees, are under the direct supervision and control of our third-party hotel manager in Brazil. The employees at all of our U.S. and Canadian hotels are employees of our third-party hotel managers, who are responsible for hiring and maintaining employees.</w:t>
      </w:r>
    </w:p>
    <w:p>
      <w:pPr>
        <w:spacing w:after="0" w:line="17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Although we do not manage employees at our consolidated hotels, we still are subject to many of the costs and risks generally associated with the hotel labor force. Employees of our third-party hotel managers at 19 of our hotels, representing approximately 27% of our total room count, are covered by collective bargaining agreements that are subject to review and renewal on a regular basis. For a discussion of these relationships, see Part I Item 1A. “Risk Factors—We are subject to risks associated with the employment of hotel personnel, particularly with hotels that employ unionized labor.” None of Host’s employees are covered by collective bargaining agreements.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to Find Additional Information</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address of our principal executive office is 4747 Bethesda Ave, Suite 1300, Bethesda, Maryland, 20814. Our phone number is (240) 744-1000. We maintain an internet website at: www.hosthotels.com. Through our website, we make available free of charge as soon as reasonably practicable after they are filed electronically with, or furnished to, the SEC, our annual reports on Form 10-K, quarterly reports on Form 10-Q, current reports on Form 8-K and amendments to those reports filed or furnished pursuant to Section 13(a) or 15(d) of the Exchange Act. The SEC also maintains an Internet site that contains reports, proxy and information statements, and other information regarding issuers at http://www.sec.gov.</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website also is a key source of important information about us. We routinely post to the Investor Relations section of our website important information about our business, our operating results and our financial condition and prospects, including, for example, information about material acquisitions and dispositions, our earnings releases and certain supplemental financial information to our earnings releases. We also post to our website copies of investor presentations, which contain important information about us, and we update those presentations periodically. The website has a Corporate Governance page in the Our Company section that includes, among other things, copies of our Bylaws, our Code of Business Conduct and Ethics, our Corporate Governance Guidelines and the charters for each standing committee of Host Inc.’s Board of Directors, which currently include the Audit Committee, the Culture and Compensation Committee and the Nominating, Governance and Corporate Responsibility Committee. Copies of these charters and policies, Host Inc.’s Bylaws and Host L.P.’s partnership agreement also are available in print to stockholders and unitholders upon request to Host Hotels &amp; Resorts, Inc., 4747 Bethesda Ave, Suite 1300, Bethesda, Maryland, 20814, Attn: Secretary. Please note that the information contained on our website is not incorporated by reference in, or considered to be a part of, any document, unless expressly incorporated by reference therein.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For an enterprise as large and complex as we are, a wide range of factors could materially affect future results and performance. The statements in this section describe the major risks to our business and should be considered carefully. In addition, these statements constitute our cautionary statements under the Private Securities Litigation Reform Act of 1995.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 and Risks of Operation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and the value of our hotels are subject to conditions affecting the lodging industry.</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performance of the lodging industry traditionally has been affected by the strength of the general economy and, specifically, growth in gross domestic product. Because lodging industry demand typically follows the general economy, the lodging industry is highly cyclical, which contributes to potentially large fluctuations in our financial condition and our results of operations. Changes in travel patterns of both business and leisure travelers, particularly during periods of economic contraction or low levels of economic growth, may create difficulties for the industry over the long-term and adversely affect our results of operations. In addition, the majority of our hotels are classified as luxury or upper upscale and generally target business and high-end leisure travelers. In periods of economic difficulties, certain business and leisure travelers may seek to reduce travel costs by limiting travel or seeking to reduce the cost of their trips. Consequently, our hotels may be more susceptible to a decrease in revenues during an economic downturn, as compared to hotels in other categories that have lower room rates. Other circumstances affecting the lodging industry which may affect our performance and the forecasts we make include:</w:t>
      </w:r>
    </w:p>
    <w:p>
      <w:pPr>
        <w:spacing w:after="0" w:line="80" w:lineRule="exact"/>
        <w:rPr>
          <w:sz w:val="20"/>
          <w:szCs w:val="20"/>
          <w:color w:val="auto"/>
        </w:rPr>
      </w:pPr>
    </w:p>
    <w:p>
      <w:pPr>
        <w:ind w:left="1300" w:right="440" w:hanging="644"/>
        <w:spacing w:after="0" w:line="261"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lodging demand of changes in national and local economic and business conditions, including concerns about U.S. economic growth, unemployment rates, and the potential for an economic recession in the United States or globally, or as a result of recent economic uncertainty due to trade disputes, tariffs, and other protection measures, the recent high level of inflation, elevated interest rates, global economic prospects, consumer confidence and the value of the U.S. dollar;</w:t>
      </w:r>
    </w:p>
    <w:p>
      <w:pPr>
        <w:spacing w:after="0" w:line="71" w:lineRule="exact"/>
        <w:rPr>
          <w:rFonts w:ascii="Times New Roman" w:cs="Times New Roman" w:eastAsia="Times New Roman" w:hAnsi="Times New Roman"/>
          <w:sz w:val="18"/>
          <w:szCs w:val="18"/>
          <w:color w:val="auto"/>
        </w:rPr>
      </w:pPr>
    </w:p>
    <w:p>
      <w:pPr>
        <w:ind w:left="1300" w:right="60" w:hanging="644"/>
        <w:spacing w:after="0" w:line="281" w:lineRule="auto"/>
        <w:tabs>
          <w:tab w:leader="none" w:pos="129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factors that may shape public perception of travel to a particular location, including natural disasters, such as the Maui wildfires in 2023 and Southern California wildfires in 2025, extreme weather events, such as Hurricane Ian in 2022 and Hurricanes Helene and Milton in 2024, or extreme precipitation, pandemics and other public health crises, such as the COVID-19 pandemic, or the occurrence or potential occurrence of terrorist attacks, all of which will affect occupancy rates at our hotels and the demand for hotel products and services;</w:t>
      </w:r>
    </w:p>
    <w:p>
      <w:pPr>
        <w:spacing w:after="0" w:line="56" w:lineRule="exact"/>
        <w:rPr>
          <w:rFonts w:ascii="Times New Roman" w:cs="Times New Roman" w:eastAsia="Times New Roman" w:hAnsi="Times New Roman"/>
          <w:sz w:val="17"/>
          <w:szCs w:val="17"/>
          <w:color w:val="auto"/>
        </w:rPr>
      </w:pPr>
    </w:p>
    <w:p>
      <w:pPr>
        <w:ind w:left="1300" w:right="120" w:hanging="644"/>
        <w:spacing w:after="0" w:line="282"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U.S. immigration policies and border closings, visa processing times, travel restrictions or advisories, changes in energy prices or changes in foreign exchange rates will continue to suppress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right="380"/>
        <w:spacing w:after="0" w:line="266" w:lineRule="auto"/>
        <w:rPr>
          <w:sz w:val="20"/>
          <w:szCs w:val="20"/>
          <w:color w:val="auto"/>
        </w:rPr>
      </w:pPr>
      <w:r>
        <w:rPr>
          <w:rFonts w:ascii="Times New Roman" w:cs="Times New Roman" w:eastAsia="Times New Roman" w:hAnsi="Times New Roman"/>
          <w:sz w:val="18"/>
          <w:szCs w:val="18"/>
          <w:color w:val="auto"/>
        </w:rPr>
        <w:t>international travel to the United States generally or decrease the labor pool, and risks that the current travel imbalance (i.e., elevated international U.S. outbound travel combined with a decrease in inbound travel to the United States) may remain elevated relative to historic levels;</w:t>
      </w:r>
    </w:p>
    <w:p>
      <w:pPr>
        <w:spacing w:after="0" w:line="68" w:lineRule="exact"/>
        <w:rPr>
          <w:sz w:val="20"/>
          <w:szCs w:val="20"/>
          <w:color w:val="auto"/>
        </w:rPr>
      </w:pPr>
    </w:p>
    <w:p>
      <w:pPr>
        <w:ind w:left="1300" w:right="280" w:hanging="644"/>
        <w:spacing w:after="0" w:line="266"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developments outside the U.S., such as large-scale wars or international conflicts, slowing global growth, or trade disputes, tariffs or other trade protection measures between the United States and its trading partners, all of which could cause economic volatility and affect global travel and lodging demand within the United States or result in supply chain disruptions;</w:t>
      </w:r>
    </w:p>
    <w:p>
      <w:pPr>
        <w:spacing w:after="0" w:line="67"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global financial and credit markets, which could materially adversely affect U.S. and global economic conditions, business activity, and lodging demand as well as negatively impact our ability to obtain financing and increase our borrowing costs;</w:t>
      </w:r>
    </w:p>
    <w:p>
      <w:pPr>
        <w:spacing w:after="0" w:line="53" w:lineRule="exact"/>
        <w:rPr>
          <w:rFonts w:ascii="Times New Roman" w:cs="Times New Roman" w:eastAsia="Times New Roman" w:hAnsi="Times New Roman"/>
          <w:sz w:val="18"/>
          <w:szCs w:val="18"/>
          <w:color w:val="auto"/>
        </w:rPr>
      </w:pPr>
    </w:p>
    <w:p>
      <w:pPr>
        <w:ind w:left="1300" w:hanging="644"/>
        <w:spacing w:after="0" w:line="254"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U.S. governmental action to address budget deficits through reductions in spending and similar austerity measures, as well as the impact of potential U.S. government shutdowns, such as the shutdown from October 1, 2025 through November 12, 2025, the furlough of federal employees, and potential future disruption resulting from the failure of the U.S. Congress to enact appropriations bills or raise the federal debt ceiling, all of which could reduce the availability of government services and result in the suspension or delay of activities by key agencies that oversee air travel; the occurrence of any of these events may impact government related travel and leisure travel generally due to air traffic delays and the closures of parks or other tourism destinations, resulting in a decrease in demand at our hotels and which could also materially adversely affect U.S. economic conditions, business activity, credit availability and borrowing costs;</w:t>
      </w:r>
    </w:p>
    <w:p>
      <w:pPr>
        <w:spacing w:after="0" w:line="83" w:lineRule="exact"/>
        <w:rPr>
          <w:rFonts w:ascii="Times New Roman" w:cs="Times New Roman" w:eastAsia="Times New Roman" w:hAnsi="Times New Roman"/>
          <w:sz w:val="18"/>
          <w:szCs w:val="18"/>
          <w:color w:val="auto"/>
        </w:rPr>
      </w:pPr>
    </w:p>
    <w:p>
      <w:pPr>
        <w:ind w:left="1300" w:right="20" w:hanging="644"/>
        <w:spacing w:after="0" w:line="261"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risks associated with the hotel business, including the effect of labor stoppages or strikes, increasing operating or labor costs, including increased labor costs in the recent inflationary environment, the ability of our managers to adequately staff our hotels as a result of shortages in labor supply, including due to changes in immigration laws or increased enforcement, and severance and furlough payments to hotel employees or changes in workplace rules that affect labor costs;</w:t>
      </w:r>
    </w:p>
    <w:p>
      <w:pPr>
        <w:spacing w:after="0" w:line="71"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hotels to compete effectively against other lodging businesses in the highly competitive markets in which we operate in areas such as access, location, quality of accommodations and room rate structures;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desirability of the geographic regions of the hotels in our portfolio or in the travel patterns of hotel customers;</w:t>
      </w:r>
    </w:p>
    <w:p>
      <w:pPr>
        <w:spacing w:after="0" w:line="11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taxes and governmental regulations that influence or set wages, hotel employee health care costs, prices, interest rates or construction and maintenance procedures and costs; and</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frequency of business travel that may result from hybrid or remote work environments and other changes to business operations, such as alternatives to in-person meetings, including virtual meetings hosted online or over private teleconferencing networks.</w:t>
      </w:r>
    </w:p>
    <w:p>
      <w:pPr>
        <w:spacing w:after="0" w:line="16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addition, the U.S. economy has experienced high rates of inflation, which has increased our operating expenses due to higher wages and costs. The rate of inflation may remain elevated or increase in the future, resulting in further increases to our operating expenses. Although the short-term nature of hotel bookings generally allows our managers to compensate to a certain extent for inflationary effects by increasing room rates at our hotels, sustained inflation could have a negative impact on the demand for lodging. Moreover, an inflationary environment can increase the costs of hotel renovations and the purchasing power of our cash resources can decline, which can have an adverse impact on our business or financial results. In addition, our interest expense has increased due to higher interest rates on the senior notes we issued in 2024 and 2025</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cannot assure you that adverse changes in the general economy or other circumstances that affect the lodging industry will not have an adverse effect on the hotel revenues or earnings at our hotels. Our efforts to mitigate the risks associated with these adverse changes may not be successful and our business and growth could be adversely affected. A reduction in our revenues or earnings because of the above risks may reduce our working capital, impact our long-term business strategy and impact the value of our assets and our ability to meet certain covenants in our existing debt agreements. In addition, we may incur impairment expense in the future, which expense will affect negatively our results of operations. We can provide no assurance that any impairment expense recognized will not be material to our results of operations.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to general economic conditions affecting the lodging industry, new hotel room supply is an important factor that can affect the lodging industry’s performance and overbuilding has the potential to further exacerbate the negative impact of an economic downturn. Room rates and occupancy, and thus RevPAR, tend to increase when demand growth exceeds supply growth. A reduction or slowdown in the growth of lodging demand or increased growth in lodging supply could result in returns that are substantially below expectations or result in losses which could materially and adversely affect our revenues and profitability as well as limit or slow our future growth.</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external sources of capital for future growth; therefore, any disruption to our ability to access capital at times, and on terms reasonably acceptable to us, may affect adversely our business and results of operations.</w:t>
      </w:r>
    </w:p>
    <w:p>
      <w:pPr>
        <w:spacing w:after="0" w:line="15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Since we have elected REIT status, Host Inc. must finance its growth and fund debt repayments largely with external sources of capital because it is required to pay dividends to its stockholders in an amount equal to at least 90% of its taxable income (other than net capital gain) each year to qualify as a REIT. Our ability to access external capital could be hampered by several factors, many of which are outside of our control, including:</w:t>
      </w:r>
    </w:p>
    <w:p>
      <w:pPr>
        <w:spacing w:after="0" w:line="68"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volatility, dislocations and liquidity disruptions in the U.S. and global equity and credit markets;</w:t>
      </w:r>
    </w:p>
    <w:p>
      <w:pPr>
        <w:spacing w:after="0" w:line="11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perception of our growth potential, including rating agency downgrades by Moody’s Investors Service, Standard &amp; Poor’s Ratings Services or Fitch Ratings; if our credit ratings were to be downgraded, our access to capital and the cost of debt financing would be negatively impacted, particularly if we were downgraded to below an investment grade rating;</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our current or estimated future earnings or decreases or fluctuations in the market price of the common stock of Host Inc.;</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and</w:t>
      </w:r>
    </w:p>
    <w:p>
      <w:pPr>
        <w:spacing w:after="0" w:line="117"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existing indebtedness, which would restrict our incurrence of additional debt if we were to fall below required covenant levels.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occurrence of any of the above factors, individually or in combination, could prevent us from being able to obtain the external capital we require on terms that are acceptable to us, or at all, which could have a material adverse effect on (i) our ability to finance our future growth and acquire hotels, (ii) our ability to meet our anticipated requirements for working capital, debt service and capital expenditures, and (iii) our results of operations and financial condition. Potential consequences of disruptions in U.S. and global equity and credit markets could include the need to seek alternative sources of capital with less attractive terms, such as more restrictive covenants, shorter maturity and higher costs, which would have an adverse effect on our financial condition and liquidity.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w:t>
      </w:r>
    </w:p>
    <w:p>
      <w:pPr>
        <w:spacing w:after="0" w:line="22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The lodging industry is highly competitive. Our principal competitors are other owners and investors in upper upscale and luxury full-service hotels, including other lodging REITs. Our hotels face strong competition for individual guests, group reservations and conference business from major hospitality chains with well-established and recognized brands, as well as from other smaller hotel chains, independent and local hotel owners and operators. Our hotels compete for customers primarily based on brand name recognition and reputation, as well as location, room rates, property size and availability of rooms and conference space, quality of the accommodations, customer satisfaction, amenities and the ability to earn and redeem loyalty program points. New hotel construction adds to supply, creating new competitors, in some cases without corresponding increases in demand for hotel rooms. We also compete for hotel acquisitions with others that have similar investment objectives to ours. This competition could limit the number of investment opportunities that we find suitable for our business. It also may increase the bargaining power of hotel owners seeking to sell to us, making it more difficult for us to acquire new hotels on attractive terms or on the terms contemplated in our business plan.</w:t>
      </w:r>
    </w:p>
    <w:p>
      <w:pPr>
        <w:spacing w:after="0" w:line="18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Internet reservation channels remain a source of competition that could adversely affect our business. While a percentage of hotel rooms for individual or “transient” customers are booked through internet travel intermediaries, the brands we work with have enacted strategies to drive consumers directly to their website or reservation platform, although there can be no assurances that those strategies will be successful. Search engines (including generative AI search) and peer-to-peer inventory sources also provide online travel services that compete with our hotels. If bookings shift to higher cost distribution channels, including these internet travel intermediaries, it could materially impact our profitability. Internet travel intermediaries may also target group and convention business, which could divert such business and materially adversely affect our revenues and profitability.</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inherent risks with investments in real estate, including their relative illiquidity.</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Investments in real estate are inherently illiquid and generally cannot be sold quickly. For this reason, we cannot predict whether we will be able to sell any hotel that we desire to sell for the price or on terms acceptable to us, or the length of time needed to find a willing purchaser and to close on the sale of a hotel. Therefore, we may not be able to vary the composition of our portfolio promptly in response to changing economic, financial and investment conditions or dispose of hotels at opportune times or on favorable terms, which may adversely affect our cash flows and our ability to pay dividends to stockholders. In addition, real estate ownership is subject to various risks, including:</w:t>
      </w:r>
    </w:p>
    <w:p>
      <w:pPr>
        <w:spacing w:after="0" w:line="75"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relating to real estate ownership or operations, including tax, environmental, zoning and eminent domain laws;</w:t>
      </w:r>
    </w:p>
    <w:p>
      <w:pPr>
        <w:spacing w:after="0" w:line="117"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in value of real estate due to changes in market conditions or the area in which it is located or losses in value due to changes in tax laws or increased property tax assessments;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civil liability for accidents or other occurrences on owned or leased properties;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need for owner-funded capital improvements and expenditures in order to maintain or upgrade hotels;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total or partial closures due to renovations and facility improvements; and</w:t>
      </w:r>
    </w:p>
    <w:p>
      <w:pPr>
        <w:spacing w:after="0" w:line="117"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majeure events, such as natural disasters or extreme weather, which may result in an uninsured loss or a loss in excess of insured limits.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indebtedness and may incur additional indebtedness.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we and our subsidiaries had total indebtedness of approximately $5.1 billion. Our indebtedness requires us to commit a significant portion of our annual cash flow from operations to debt service payments, which reduces the availability of our cash flow to fund working capital, capital expenditures, expansion efforts, dividends and distributions and other general corporate needs. Additionally, our substantial indebtedness could:</w:t>
      </w:r>
    </w:p>
    <w:p>
      <w:pPr>
        <w:spacing w:after="0" w:line="72"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w:t>
      </w:r>
    </w:p>
    <w:p>
      <w:pPr>
        <w:spacing w:after="0" w:line="117"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in the future to undertake refinancings of our debt or to obtain financing for expenditures, acquisitions, development or other general corporate needs on terms and conditions acceptable to us, if at all; or</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 adversely our ability to compete effectively or operate successfully under adverse economic conditions.</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If our cash flow and working capital are not sufficient to fund our expenditures or service our indebtedness, we will be required to raise additional funds through sales of common or preferred OP units of Host L.P. or common or preferred stock of Host Inc., the incurrence of additional permitted indebtedness by Host L.P. or sales of our assets. We cannot make any assurances that any of these sources of funds will be available to us or, if available, will be on terms that we would find acceptable or in amounts sufficient to meet our obligations or fulfill our business plan.</w:t>
      </w:r>
    </w:p>
    <w:p>
      <w:pPr>
        <w:spacing w:after="0" w:line="17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indebtedness place restrictions on us and on our subsidiaries, and these restrictions reduce our operational flexibility and create default risks.</w:t>
      </w:r>
    </w:p>
    <w:p>
      <w:pPr>
        <w:spacing w:after="0" w:line="15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are, and may in the future become, party to agreements and instruments that place restrictions on us and on our subsidiaries. For instance, the covenants in the documents governing the terms of our senior notes and our credit facility restrict, among other things, our ability to:</w:t>
      </w:r>
    </w:p>
    <w:p>
      <w:pPr>
        <w:spacing w:after="0" w:line="54"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in excess of certain thresholds and without satisfying certain financial metrics; and</w:t>
      </w:r>
    </w:p>
    <w:p>
      <w:pPr>
        <w:spacing w:after="0" w:line="11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credit facility, make acquisitions, investments, pay dividends and make distributions without satisfying certain financial metrics concerning leverage, fixed charge coverage and unsecured interest coverage.</w:t>
      </w:r>
    </w:p>
    <w:p>
      <w:pPr>
        <w:spacing w:after="0" w:line="162"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restrictive covenants in our senior notes and credit facility may reduce our flexibility in conducting our operations. Failure to comply with these restrictive covenants could result in an event of default that, if not cured or waived, could result in the acceleration of all or a substantial portion of our indebtedness. For a detailed description of the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covenants and restrictions imposed by the documents governing our indebtedness, see Part II Item 7. “Management’s Discussion and Analysis of Financial Condition and Results of Operations—Financial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expenses may not decrease if our revenues decrease.</w:t>
      </w:r>
    </w:p>
    <w:p>
      <w:pPr>
        <w:spacing w:after="0" w:line="229"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Many of the expenses associated with owning and operating hotels, such as debt-service payments, property taxes, insurance, utilities, and employee wages and benefits, are relatively inflexible. They do not necessarily decrease directly with a reduction in revenues at the hotels and may be subject to increases that are not tied to the performance of our hotels or the increase in the rate of inflation generally. Additionally, certain costs, such as wages, benefits and insurance, may exceed the rate of inflation in any given period. In the event of a significant decrease in demand, our hotel managers may not be able to reduce the size of hotel work forces in order to decrease wages and benefits. Our managers also may be unable to offset any fixed or increased expenses with higher room rates. Any of our efforts to reduce operating costs also could adversely affect the future growth of our business and the value of our hotels.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acquisition of hotels may have a significant effect on our business, liquidity, financial condition and/or results of operations.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routinely are actively engaged in the process of identifying, analyzing and negotiating possible transactions for acquiring hotels. We cannot provide any assurances that we will be successful in consummating future acquisitions on favorable terms or that we will realize the benefits that we anticipate from such acquisitions. Our failure to realize the intended benefits from one or more acquisitions could have a significant adverse effect on our business, liquidity, financial condition and/or results of operations. These adverse effects may occur because the performance of the hotel does not support the additional indebtedness and related interest expense that we incurred as a result of the acquisition. In addition, hotels and entities that we have acquired, or may in the future acquire, may be subject to unknown or contingent liabilities for which we may have no recourse, or only limited recourse, against the sellers. In general, the representations and warranties provided in the transaction agreements may not survive long enough for us to become aware of such liabilities and to seek recourse against our sellers, and indemnification covering representations and warranties often is limited and subject to various materiality thresholds, a significant deductible or an aggregate cap on losses. As a result, there is no guarantee that we will recover any amounts with respect to losses due to breaches by the sellers of their representations and warranties.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achieve the value we anticipate from new hotel developments or value enhancement projects at our existing hotels.</w:t>
      </w:r>
    </w:p>
    <w:p>
      <w:pPr>
        <w:spacing w:after="0" w:line="22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We currently are, and in the future may be, involved in the development or redevelopment of hotels, timeshare units or other alternate uses of portions of our existing hotels, including the development of retail, office, condominium or apartments, and including through joint ventures. There are risks inherent in any new development, including:</w:t>
      </w:r>
    </w:p>
    <w:p>
      <w:pPr>
        <w:spacing w:after="0" w:line="68" w:lineRule="exact"/>
        <w:rPr>
          <w:sz w:val="20"/>
          <w:szCs w:val="20"/>
          <w:color w:val="auto"/>
        </w:rPr>
      </w:pPr>
    </w:p>
    <w:p>
      <w:pPr>
        <w:ind w:left="1300" w:right="660" w:hanging="644"/>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obtain the zoning, occupancy and other required governmental permits and authorizations necessary to complete the development. A delay in receiving these approvals could affect adversely the returns we expect to receive.</w:t>
      </w:r>
    </w:p>
    <w:p>
      <w:pPr>
        <w:spacing w:after="0" w:line="53" w:lineRule="exact"/>
        <w:rPr>
          <w:rFonts w:ascii="Times New Roman" w:cs="Times New Roman" w:eastAsia="Times New Roman" w:hAnsi="Times New Roman"/>
          <w:sz w:val="18"/>
          <w:szCs w:val="18"/>
          <w:color w:val="auto"/>
        </w:rPr>
      </w:pPr>
    </w:p>
    <w:p>
      <w:pPr>
        <w:jc w:val="both"/>
        <w:ind w:left="1300" w:right="640" w:hanging="644"/>
        <w:spacing w:after="0" w:line="266"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construction involves the possibility of construction delays and cost overruns that may increase project costs, including increased costs due to shortages of supplies as a result of supply chain disruptions, trade disputes tariffs or other trade protection measures, immigration issues and policy changes, labor unrest or shortages, or other inflationary pressures.</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design or construction may result in delays and additional costs to remedy the defect or require a portion of a hotel to be closed during the period required to remedy the defect.</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meet the loan covenants in any indebtedness obtained to fund the new development, creating default risks.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economic and market conditions between development commencement and property stabilization.</w:t>
      </w:r>
    </w:p>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Any of the above factors could affect adversely our ability to complete the developments on schedule and consistent with the scope that currently is contemplated, or to achieve the intended value of these projects.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control our hotel operations, and we are dependent on the managers of our hotels.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To maintain our status as a REIT, we are not permitted to operate or manage any of our hotels. As a result, we, through our taxable REIT subsidiaries, have entered into management agreements with third-party managers to operate our hotels. For this reason, we are unable to directly implement strategic business decisions with respect to the daily operation and marketing of our hotels, such as decisions with respect to the setting of room rates, food and beverage pricing and certain similar matters. Although we consult with our hotel operators with respect to strategic business plans, the hotel operators are under no obligation to implement any of our recommendations with respect to these matters. While we monitor the hotel managers’ performance, we have limited recourse under our management agreements if we believe that the hotel managers are not performing adequately. The cash flow from our hotels may be affected adversely if our managers fail to provide quality services and amenities or if they or their affiliates fail to maintain a quality brand name. Because our management agreements are long-term in nature, we also may not be able to terminate these agreements if we believe the manager is not performing adequately.</w:t>
      </w:r>
    </w:p>
    <w:p>
      <w:pPr>
        <w:spacing w:after="0" w:line="18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Failure by our hotel managers to fully perform the duties agreed to in our management agreements or the failure of our managers to adequately manage the risks associated with hotel operations could affect adversely our results of operations.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our hotel managers or their affiliates manage, and in some cases own, have invested in, or provided credit support or operating guarantees, to hotels that compete with our hotels, all of which may result in conflicts of interest. As a result, our hotel managers have in the past made, and may in the future make, decisions regarding competing lodging facilities that are not or would not be in our best interest. Furthermore, our management agreements for our brand managed properties generally have provisions that can restrict our ability to sell, lease or otherwise transfer our hotels, unless the transferee is not a competitor of the manager and the transferee assumes the related management agreements and meets other specified conditions. Our ability to finance or sell our hotels, depending upon the structure of the transactions, may require the manager’s consent. Similarly, decisions with respect to the repositioning of a hotel, such as the outsourcing of food and beverage outlets, also may require the manager’s consent.</w:t>
      </w:r>
    </w:p>
    <w:p>
      <w:pPr>
        <w:spacing w:after="0" w:line="1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hotels managed by Marriott International account for most of our revenues and operating income. Adverse developments in Marriott’s business and affairs or financial condition could have a material adverse effect on us.</w:t>
      </w:r>
    </w:p>
    <w:p>
      <w:pPr>
        <w:spacing w:after="0" w:line="15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Approximately 64% of our hotels (as measured by 2025 hotel revenues) are managed or franchised by Marriott International. We rely on Marriott’s personnel, expertise, technical resources and information systems, proprietary information, good faith and judgment to manage and maintain our hotel operations efficiently, effectively, profitably and in compliance with the terms, responsibilities and duties of our management agreements and all applicable laws and regulations. Any adverse developments in Marriott’s business and affairs or financial condition could impair its ability to manage our hotels and could have a material adverse effect on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the employment of hotel personnel, particularly with hotels that employ unionized labor.</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third-party managers are responsible for hiring, maintaining and managing the labor force at each of our hotels. We do not directly employ or manage employees at our consolidated hotels (other than employing, but not managing, directing or supervising, the employees at our three hotels in Brazil). However, we remain subject to many of the costs and risks generally associated with the hotel labor force, particularly at those hotels with unionized labor. From time to time, hotel operations may be disrupted because of strikes, lockouts, public demonstrations or other negative actions and publicity. In June 2026, the collective bargaining agreement in New York City will expire. Three of our hotels are subject to the collective bargaining agreement: the New York Marriott Marquis, the New York Marriott Downtown, and 1 Hotel Central Park. Those negotiations potentially could result in disruptions in operations and additional costs. We also may incur increased legal costs and indirect labor costs because of disputes involving our third-party managers and their labor force. The resolution of labor disputes or re-negotiated labor contracts could lead to increased labor costs, which is a significant component of our hotel operating costs, either by increases in wages or benefits or by changes in work rules that raise hotel operating costs. As we are not the employer nor bound by any collective bargaining agreement, we do not negotiate with any labor organization, and it is the responsibility of each hotel’s manager to enter into such labor contracts. Our ability, if any, to have any meaningful impact on the outcome of these negotiations is restricted by and dependent on the management agreement covering a specific hotel and we may have little or no ability to control the outcome of these negotiations.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deemed to be a joint employer with our third-party hotel managers under certain new laws, rules and regulations.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noted above, we do not directly employ or manage employees at our consolidated hotels, and our third-party managers are responsible for hiring and managing the labor force at our hotels. Recent legislative proposals introduced in certain states and local jurisdictions have included provisions requiring that hotel owners be deemed an employer of workers at our hotels. Changes in laws or regulations relating to the employer relationship that result in a determination that we are a “joint employer” with our hotel operators could subject us to liability for employment-related and other liabilities of our hotel operators and could cause us to incur other costs that have a material adverse effect on our business, financial condition and results of operations.</w:t>
      </w:r>
    </w:p>
    <w:p>
      <w:pPr>
        <w:spacing w:after="0" w:line="17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hotels have an ongoing need for renovations and potentially significant capital expenditures in order to remain competitive in the marketplace, to maintain brand standards or to comply with applicable laws or regulations. The timing and costs of such renovations or improvements may result in reduced operating performance during construction and may not improve the return on these investments.</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need to make capital expenditures to remain competitive with other hotels, to maintain the economic value of our hotels and to comply with applicable laws and regulations. We also are required by our hotel management agreements to make agreed upon capital expenditures to our hotels. The timing of these improvements can affect hotel performance, particularly if the improvements require closure of a significant number of rooms or other features of the hotels, such as ballrooms, meeting space and restaurants. These capital improvements reduce the availability of cash for other purposes and are subject to cost overruns and delays. In addition, because we depend on external sources of capital, we may not have the necessary funds to invest and, if we fail to maintain our hotels in accordance with brand standards set by our managers, they may terminate the management agreement. Moreover, we may not necessarily realize a significant, or any, improvement in the performance of the hotels at which we make these investments.</w:t>
      </w:r>
    </w:p>
    <w:p>
      <w:pPr>
        <w:spacing w:after="0" w:line="18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large proportion of our hotels are located in a limited number of large urban cities and, accordingly, we could be disproportionately harmed by adverse changes to these markets or events impacting these markets.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Hotels in the following cities and states represented approximately 65% of our 2025 hotel revenues: New York, Washington, D.C., San Diego, San Francisco, Phoenix, Florida and Hawaii. An economic downturn, an increase in hotel supply in these cities and markets, natural disasters, weather events, terrorist attacks, health epidemics, or similar events in any one of these cities and markets likely would cause a decline in hotel demand and adversely affect occupancy rates, the financial performance of our hotels in these cities and markets and our overall results of operations. For example, lodging demand in Maui, one of our largest markets by revenues, has been significantly impacted by the wildfires that occurred in August 2023, and the effect on lodging demand is expected to continue in 2026. Additionally, a majority of our hotels in Florida were affected by Hurricane Ian in 2022 and a significant number of our hotels in Florida were affected by Hurricanes Helene and Milton in September and October 2024, respectively. The threat of terrorism also may negatively impact hotel occupancy and average daily rate, due to resulting disruptions in business and leisure travel patterns and concerns about travel safety. Hotels in major metropolitan areas, such as the major cities that represent our largest markets, may be particularly adversely affected due to concerns about travel safety.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or develop hotels in joint ventures with third parties that could result in conflicts.</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We have made investments in joint ventures, such as our 2022 joint venture with Noble Investment Group, LLC, and are exploring further investment or development opportunities. We may, from time to time, invest as a co-venturer in other entities owning hotels instead of purchasing them directly. We also may sell interests in existing hotels or existing entities to a third party as part of forming a joint venture with the third party. Investments in joint ventures may involve risks not present were a third party not involved, including the possibility that partners or co-venturers might become bankrupt or fail to fund their share of required capital contributions. Co-venturers may control or share control over the operations of a joint venture. Actions by a co-venturer also could subject the hotels to additional risks because our co-venturer might have economic or business interests or goals that are inconsistent with our interests or goals. Disputes between us and our partners or co-venturers may result in litigation that would increase our expenses and may negatively impact hotel operations.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potential losses are not covered by insurance.</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We carry insurance coverage for property, business interruption, terrorism, and other risks with respect to all our hotels and other properties. We also carry, or in certain instances cause our hotel managers to carry, general liability insurance with respect to all our hotels and other properties. Certain coverages related to hotel managers’ employer status, such as worker's compensation, are insured under the hotel manager’s policies. These policies offer coverage features and insured limits that we believe are customary for similar types of properties. Generally, our “all-risk” property policies provide coverage that is available on a per-occurrence basis and that, for each occurrence, has an overall limit, as well as various sub-limits, on the insurance proceeds we can receive. Sub-limits exist for certain types of claims, such as service interruption, debris removal, expediting costs, landscaping replacement, and certain natural disasters such as earthquakes, floods and hurricanes, and may be subject to annual aggregate coverage limits. The dollar amounts of these sub-limits are significantly lower than the dollar amounts of the overall coverage limit. In this regard, hotels in certain of our markets, including California, Florida, Hawaii, Houston, New Orleans and Seattle, are particularly susceptible to damage from natural disasters and the applicable sub-limits are significantly lower than the total value of the hotels we own in these markets and other states where natural disasters are possible. Recovery under the applicable policies also is subject to substantial deductibles, either fixed or as a percentage of total insured value, self-insurance retentions, or insurance issued by a "captive insurer" affiliated with Host Inc. There is no assurance that this insurance, where maintained, will fully fund the re-building or restoration of a hotel that is impacted by an earthquake, hurricane, wildfire or other natural disaster, or a terrorism event, or will fully fund the income lost as a result of the damage. Intensifying natural disasters and extreme weather events, including due to climate change, coupled with the current economic climate have directly affected the availability of insurance, increased premiums and deductibles, and reduced amounts that insurers are willing to underwrite. As a result, we may need to self-insure more of our exposures and look for alternative means of risk transfer in order to mitigate increasing insurance costs.</w:t>
      </w:r>
    </w:p>
    <w:p>
      <w:pPr>
        <w:spacing w:after="0" w:line="19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property insurance policies also provide that all claims from each of our properties resulting from a particular insurable occurrence must be combined for purposes of evaluating whether the aggregate limits and sub-limits provided in our policies have been exceeded. Therefore, if an insurable occurrence affects more than one of our hotels, the claims from each affected hotel will be added together to determine whether the aggregate limit or sub-limits, depending on the type of claim, have been reached. Each affected hotel may only receive a proportional share of the amount of insurance proceeds provided for under the policy if the total value of the loss exceeds the aggregate limits available. For example, if a hurricane were to cause widespread damage in Florida, claims from each of our hotels would be aggregated against the policy limit or sub-limit and could exceed the applicable limit or sub-limit. We may incur losses in excess of insured limits, and we may be even less likely to receive complete coverage for risks that affect multiple properties, such as earthquakes, hurricanes, or certain types of terrorism because the claims will be added together against the policy limit or sub-limit.</w:t>
      </w:r>
    </w:p>
    <w:p>
      <w:pPr>
        <w:spacing w:after="0" w:line="192"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In addition, there are other risks relating to property insurance, such as certain environmental hazards, that may be deemed to fall completely outside the general coverage of our policies or may be uninsurable or too expensive to justify coverage. Also, insurance coverage for war, infectious disease, and nuclear, biological, chemical and radiological perils is extremely limited. We also may encounter challenges with an insurance provider regarding whether it will pay a particular claim that we believe to be covered under our policy, which may require litigation. Should a loss in excess of insured limits or an uninsured loss occur, or should we be unsuccessful in obtaining coverage from an insurance carrier, we could lose all or a part of the capital we have invested in a hotel, as well as its anticipated future revenues.</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the risk of material data breaches and disruptions of our managers’ or our own information technology systems, or the information technology systems of third parties on which we or our managers rely, which could materially adversely affect our business and results.</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third-party hotel managers are dependent on information technology networks and systems, including the internet, to access, process, transmit and store proprietary and customer information. These complex networks include reservation systems, vacation exchange systems, hotel management systems, customer databases, call centers, administrative systems, and third-party vendor systems. These systems require the collection and retention of large volumes of personally identifiable information of hotel guests, including credit card numbers and passport numbers. Our hotel managers may store and process such customer information as well as proprietary information both on systems located at the hotels that we own and other hotels that they operate and manage, their corporate locations and at third-party owned facilities, including, for example, in a third-party hosted cloud environment. These information networks and systems are vulnerable to numerous and evolving cybersecurity risks that threaten the confidentiality, integrity and availability of systems and information such as system, network or internet failures; computer hacking or operational disruption (e.g., due to ransomware or data extortion); cyber-terrorism; viruses, worms or other malicious software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programs; social engineering (e.g., phishing); employee error, negligence, malfeasance or fraud; and misconfigurations, "bugs" or other known or unknown vulnerabilities in software and hardware.</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These threats can be introduced in any number of ways, including through third parties accessing our hotel managers’ information networks and systems or by exploiting vulnerabilities in third-party software, technologies, tools, services or systems. The risks from these cyber threats are significant. Marriott International, the manager of a majority of our hotels, experienced a material data security breach involving the unauthorized access to the Starwood guest reservation database between 2014 and 2018. Marriott settled a multistate state attorneys' general investigation, pursuant to which it agreed to pay a $52 million fine and take various measures to protect data. Marriott also settled with the Federal Trade Commission and agreed to take measures to protect data. Marriott remains subject to other lawsuits and investigations arising around the world. Marriott has also experienced other, lesser data breaches since 2018 as well. No assurances can be made as to the outcome of these data breach lawsuits or investigations.</w:t>
      </w:r>
    </w:p>
    <w:p>
      <w:pPr>
        <w:spacing w:after="0" w:line="18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rely on the security systems of our managers to maintain hotel operations and to protect proprietary and hotel customer information. Any compromise of our managers’ or their critical third-party networks could result in a material disruption to our managers’ operations due to disruption in fulfilling guest reservations, delayed bookings or sales, lost guest reservations, or compromises to information. Any of these events could, in turn, result in disruption of the operations of the hotels that we own that are managed by them, increased costs (e.g., to comply with regulatory requirements or to remediate systems), potential litigation (including class actions), and regulatory enforcement and liability. All our major hotel management companies and a majority of our third-party operators maintain insurance against cyber threats. However, these policies provide varying limits and are subject to sub-limits for certain types of claims, and it is not expected that these policies will provide a total recovery of all potential losses. In addition, public disclosure, or loss of customer or proprietary information, such as the data breaches disclosed by Marriott in November 2018, may result in damage to the manager’s reputation and a loss of confidence among hotel guests and result in reputational harm for the hotels owned by us and managed by them, which may have a material adverse effect on our future business, financial condition and results of operations.</w:t>
      </w:r>
    </w:p>
    <w:p>
      <w:pPr>
        <w:spacing w:after="0" w:line="19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the information technologies and systems of our managers used to operate our hotels, we have our own corporate technologies and systems that are used to access, store, transmit, and manage or support a variety of our business processes and proprietary information. There can be no assurance that the security measures we, our managers or third-party providers have taken to protect systems and information will be fully implemented, complied with or effective in detecting or preventing failures, inadequacies or interruptions in system services or that system security will not be breached through physical or electronic break-ins, computer viruses, and attacks by hackers or insiders. This is particularly so because cyberattack methodologies change frequently and are often not recognized until launched. We, our managers and third-party providers may be unable to identify, investigate or remediate cyber events or incidents because attackers are increasingly using sophisticated techniques and tools (including artificial intelligence (AI) and machine learning) that can avoid detection, circumvent security controls, and even remove or obfuscate forensic evidence. Further, we and third parties, including our third-party managers, continue to adopt AI, which poses new security challenges. The introduction of AI, particularly generative AI, may also result in new or expanded risks and liabilities, including due to enhanced governmental or regulatory scrutiny, litigation, copyright infringement, compliance issues, ethical concerns, security risks relating to private and/or confidential information, as well as other factors that could adversely affect our business, reputation, and financial results. If we or our third-party managers experience an actual or perceived breach or a privacy or security incident because of the use of generative AI, we may lose valuable intellectual property and confidential information, and our reputation, or the reputation of our third-party managers, and the public perception of the effectiveness of our security measures could be harmed. The use of AI can also lead to unintended consequences, including generating content that appears correct but is factually inaccurate, misleading or otherwise flawed, or that results in unintended biases and discriminatory outcomes, which could harm our reputation (or the reputation of our third-party managers) and business, lead to legal liability and expose us to risks related to inaccuracies or errors in the output of such technologies.</w:t>
      </w:r>
    </w:p>
    <w:p>
      <w:pPr>
        <w:spacing w:after="0" w:line="19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Disruptions in service, system shutdowns and security breaches in the information technologies and systems we, our managers or third-party providers maintain, including unauthorized access to or disclosure of confidential information, could have a material adverse effect on our business or financial reporting, subject us to liability claims or regulatory penalties, which amounts could be significant, as the SEC and other regulators have increased their focus on companies' cybersecurity vulnerabilities and risks, and increase the costs of compliance and remediation. We currently maintain cyber insurance, which includes coverage for third-party liability (damages and settlements to third parties) and first-party loss (costs incurred by us in response to a network security or privacy event). However, as with our operator’s coverage, our</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policy is subject to limits and sub-limits for certain types of claims, and we do not expect that this policy will cover all the losses that we could experience from these exposures.</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data privacy and cybersecurity rules, regulations and industry standards are rapidly evolving. Evolving U.S. privacy and security laws, such as the California Consumer Privacy Act and similar laws being enacted or already in force in other states, are imposing significant requirements on companies and, in the California Consumer Privacy Act's case, providing a private right of action with statutory damages available to plaintiffs for certain types of data breaches. Failure to comply with current and future laws, industry standards and other legal obligations or any security incident resulting in operational disruptions and/or the unauthorized access to, or acquisition, release or transfer of personal information may result in governmental enforcement actions, litigation, fines and penalties and adverse publicity and could cause a material adverse effect on both the managers of our hotels and our business, results of operations and reputation. We and our managers also may be required to invest significant resources to comply with regulatory requirements, to enhance our information security controls, and to investigate and remediate any security vulnerabilities.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Applicable REIT laws may restrict certain business activities.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a REIT, each of Host Inc. and its subsidiary REIT is subject to various restrictions on the types of revenues it can earn, assets it can own and activities in which it can engage. Business activities that could be restricted by applicable REIT laws include, but are not limited to, developing alternative uses of real estate and the ownership of hotels that are not leased to a taxable REIT subsidiary (“TRS”), including the development and/or sale of timeshare or condominium units or the related land parcels. Due to these restrictions, we anticipate that we will continue to conduct certain business activities, including, but not limited to, those mentioned above, in one or more of our TRS. Our TRS are taxable as C corporations and are subject to federal, state, local, and, if applicable, foreign taxation on their taxable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possible risks associated with natural disasters and the physical effects of climate change.</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are subject to various physical, operational and financial risks associated with natural disasters and the physical effects of climate change, including more frequent or severe storms, droughts, hurricanes, flooding, earthquakes, wildfires, power shortages or outages and extreme temperatures, any of which could have a material adverse effect on our hotels, operations and business including, but not limited to, by damaging properties, by increasing the costs associated with our properties, or by decreasing the attractiveness of certain locations. For example, lodging demand in Maui, one of our largest markets by revenues, has been significantly impacted by the wildfires that occurred in August 2023, and a significant number of our hotels in Florida were affected by Hurricanes Helene and Milton in September and October 2024, respectively. Over time, our coastal markets are expected to continue to experience increases in storm intensity and rising sea levels causing damage to our hotels. As a result, we could become subject to significant losses and/or repair costs that may or may not be fully covered by insurance. Other markets such as Arizona may experience prolonged variations in temperature or precipitation that may limit access to the water needed to operate our hotels or significantly increase energy costs, which may subject those hotels to additional regulatory burdens, such as limitations on water usage or stricter energy efficiency standards. Climate change also may affect our business by increasing the cost of (or making unavailable) property insurance on terms we find acceptable in areas vulnerable to such events, increasing operating costs at our hotels, such as the cost of water or energy, and requiring us to expend funds as we seek to repair and protect our hotels against such risks. In addition, changes in government legislation and regulation on climate change could result in increased capital expenditures to improve the energy efficiency of our properties. There can be no assurance that climate change will not have a material adverse effect on our hotels, operations or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of Ownership of Host Inc.’s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limitations on the acquisition of Host Inc. common stock and changes in control.</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Host Inc.’s charter and bylaws, the partnership agreement of Host L.P., and the Maryland General Corporation Law (the “MGCL”) contain a number of provisions, the exercise or existence of which could delay, defer or prevent a transaction or a change in control that might involve a premium price for Host Inc.’s stockholders or Host L.P.’s unitholders, including the following:</w:t>
      </w:r>
    </w:p>
    <w:p>
      <w:pPr>
        <w:spacing w:after="0" w:line="66" w:lineRule="exact"/>
        <w:rPr>
          <w:sz w:val="20"/>
          <w:szCs w:val="20"/>
          <w:color w:val="auto"/>
        </w:rPr>
      </w:pPr>
    </w:p>
    <w:p>
      <w:pPr>
        <w:ind w:left="1300" w:right="80" w:hanging="644"/>
        <w:spacing w:after="0" w:line="261"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transfer and ownership of Host Inc.’s stock</w:t>
      </w:r>
      <w:r>
        <w:rPr>
          <w:rFonts w:ascii="Times New Roman" w:cs="Times New Roman" w:eastAsia="Times New Roman" w:hAnsi="Times New Roman"/>
          <w:sz w:val="18"/>
          <w:szCs w:val="18"/>
          <w:color w:val="auto"/>
        </w:rPr>
        <w:t>. To assist in maintaining Host Inc.’s qualification as a REIT for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purposes, Host Inc.’s charter prohibits ownership, directly or by attribution, by any person or persons acting as a group, of more than 9.8% in value or number, whichever is more restrictive, of shares of Host Inc.’s outstanding common stock, preferred stock or any other class or series of stock, each considered as a separate class or series for this purpose. Together,</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right="20"/>
        <w:spacing w:after="0" w:line="258" w:lineRule="auto"/>
        <w:rPr>
          <w:sz w:val="20"/>
          <w:szCs w:val="20"/>
          <w:color w:val="auto"/>
        </w:rPr>
      </w:pPr>
      <w:r>
        <w:rPr>
          <w:rFonts w:ascii="Times New Roman" w:cs="Times New Roman" w:eastAsia="Times New Roman" w:hAnsi="Times New Roman"/>
          <w:sz w:val="18"/>
          <w:szCs w:val="18"/>
          <w:color w:val="auto"/>
        </w:rPr>
        <w:t>these limitations are referred to as the “ownership limit.” Stock acquired or held in violation of the ownership limit will be transferred automatically to a trust for the benefit of a designated charitable beneficiary, and the intended acquirer of the stock in violation of the ownership limit will not be entitled to vote those shares of stock or to receive the economic benefits of owning shares of Host Inc.’s stock in excess of the ownership limit. A transfer of shares of Host Inc.’s stock to a person who, as a result of the transfer, violates the ownership limit also may be void under certain circumstances.</w:t>
      </w:r>
    </w:p>
    <w:p>
      <w:pPr>
        <w:spacing w:after="0" w:line="73" w:lineRule="exact"/>
        <w:rPr>
          <w:sz w:val="20"/>
          <w:szCs w:val="20"/>
          <w:color w:val="auto"/>
        </w:rPr>
      </w:pPr>
    </w:p>
    <w:p>
      <w:pPr>
        <w:ind w:left="1300" w:hanging="644"/>
        <w:spacing w:after="0" w:line="258"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Removal of members of the Board of Directors. </w:t>
      </w:r>
      <w:r>
        <w:rPr>
          <w:rFonts w:ascii="Times New Roman" w:cs="Times New Roman" w:eastAsia="Times New Roman" w:hAnsi="Times New Roman"/>
          <w:sz w:val="18"/>
          <w:szCs w:val="18"/>
          <w:color w:val="auto"/>
        </w:rPr>
        <w:t>Host Inc.’s charter provides that, except for any directors who may be elected by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class or series of capital stock other than common stock, directors may be removed only for cause and only by the affirmative vote of stockholders holding at least two-thirds of all the votes entitled to be cast for the election of directors. Any vacancy resulting from the removal of a director by the stockholders may be filled by the affirmative vote of holders of at least two-thirds of the votes entitled to be cast for the election of directors.</w:t>
      </w:r>
    </w:p>
    <w:p>
      <w:pPr>
        <w:spacing w:after="0" w:line="75" w:lineRule="exact"/>
        <w:rPr>
          <w:rFonts w:ascii="Times New Roman" w:cs="Times New Roman" w:eastAsia="Times New Roman" w:hAnsi="Times New Roman"/>
          <w:sz w:val="18"/>
          <w:szCs w:val="18"/>
          <w:color w:val="auto"/>
        </w:rPr>
      </w:pPr>
    </w:p>
    <w:p>
      <w:pPr>
        <w:ind w:left="1300" w:right="100" w:hanging="644"/>
        <w:spacing w:after="0" w:line="257"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Preferred shares; classification or reclassification of unissued shares of capital stock without stockholder approval</w:t>
      </w:r>
      <w:r>
        <w:rPr>
          <w:rFonts w:ascii="Times New Roman" w:cs="Times New Roman" w:eastAsia="Times New Roman" w:hAnsi="Times New Roman"/>
          <w:sz w:val="18"/>
          <w:szCs w:val="18"/>
          <w:color w:val="auto"/>
        </w:rPr>
        <w:t>. Host Inc.’s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has the authority, without a vote of stockholders, to classify or reclassify any unissued shares of stock into other classes or series of stock, and to establish the terms, preferences, conversion or other rights, voting powers, restrictions, limitations as to dividends and other distributions, qualifications and terms or conditions of redemption for each class or series. Host Inc.’s Board of Directors may give the holders of any class or series of stock terms, preferences, powers and rights, including voting rights, senior to the rights of holders of existing stock.</w:t>
      </w:r>
    </w:p>
    <w:p>
      <w:pPr>
        <w:spacing w:after="0" w:line="7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Certain provisions of the MGCL may have the effect of inhibiting a third party from acquiring Host Inc., including:</w:t>
      </w:r>
    </w:p>
    <w:p>
      <w:pPr>
        <w:spacing w:after="0" w:line="119" w:lineRule="exact"/>
        <w:rPr>
          <w:rFonts w:ascii="Times New Roman" w:cs="Times New Roman" w:eastAsia="Times New Roman" w:hAnsi="Times New Roman"/>
          <w:sz w:val="18"/>
          <w:szCs w:val="18"/>
          <w:i w:val="1"/>
          <w:iCs w:val="1"/>
          <w:color w:val="auto"/>
        </w:rPr>
      </w:pPr>
    </w:p>
    <w:p>
      <w:pPr>
        <w:ind w:left="1960" w:right="40" w:hanging="332"/>
        <w:spacing w:after="0" w:line="258" w:lineRule="auto"/>
        <w:tabs>
          <w:tab w:leader="none" w:pos="1956" w:val="left"/>
        </w:tabs>
        <w:numPr>
          <w:ilvl w:val="1"/>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“business combination” provisions that, subject to limitations, prohibit certain business combinations between a corporation and an “interested stockholder” (defined generally as any person who beneficially owns 10% or more of the voting power of the corporation’s then outstanding shares of voting stock) or an affiliate of any interested stockholder for five years after the most recent date on which the stockholder becomes an interested stockholder, and thereafter imposes two super-majority stockholder voting requirements on these combinations; and</w:t>
      </w:r>
    </w:p>
    <w:p>
      <w:pPr>
        <w:spacing w:after="0" w:line="75" w:lineRule="exact"/>
        <w:rPr>
          <w:rFonts w:ascii="Times New Roman" w:cs="Times New Roman" w:eastAsia="Times New Roman" w:hAnsi="Times New Roman"/>
          <w:sz w:val="18"/>
          <w:szCs w:val="18"/>
          <w:i w:val="1"/>
          <w:iCs w:val="1"/>
          <w:color w:val="auto"/>
        </w:rPr>
      </w:pPr>
    </w:p>
    <w:p>
      <w:pPr>
        <w:ind w:left="1960" w:right="60" w:hanging="332"/>
        <w:spacing w:after="0" w:line="258" w:lineRule="auto"/>
        <w:tabs>
          <w:tab w:leader="none" w:pos="195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share” provisions providing that holders of “control shares” of a corporation (defined as voting shares of stock that, if aggregated with all other shares of stock owned or controlled by the acquirer, would entitle the acquirer to exercise one of three increasing ranges of voting power in electing directors) acquired in a “control share acquisition” have no voting rights except to the extent approved by the stockholders by the affirmative vote of at least two-thirds of all of the votes entitled to be cast on the matter, excluding all interested shares.</w:t>
      </w:r>
    </w:p>
    <w:p>
      <w:pPr>
        <w:spacing w:after="0" w:line="75" w:lineRule="exact"/>
        <w:rPr>
          <w:sz w:val="20"/>
          <w:szCs w:val="20"/>
          <w:color w:val="auto"/>
        </w:rPr>
      </w:pPr>
    </w:p>
    <w:p>
      <w:pPr>
        <w:ind w:left="1300" w:right="60"/>
        <w:spacing w:after="0" w:line="266" w:lineRule="auto"/>
        <w:rPr>
          <w:sz w:val="20"/>
          <w:szCs w:val="20"/>
          <w:color w:val="auto"/>
        </w:rPr>
      </w:pPr>
      <w:r>
        <w:rPr>
          <w:rFonts w:ascii="Times New Roman" w:cs="Times New Roman" w:eastAsia="Times New Roman" w:hAnsi="Times New Roman"/>
          <w:sz w:val="18"/>
          <w:szCs w:val="18"/>
          <w:color w:val="auto"/>
        </w:rPr>
        <w:t>Host Inc. is subject to the Maryland business combination statute. Our bylaws contain a provision exempting us from the control share provisions of the MGCL. There can be no assurance that this bylaw provision exempting us from the control share provisions will not be amended or eliminated at any time in the future.</w:t>
      </w:r>
    </w:p>
    <w:p>
      <w:pPr>
        <w:spacing w:after="0" w:line="66" w:lineRule="exact"/>
        <w:rPr>
          <w:sz w:val="20"/>
          <w:szCs w:val="20"/>
          <w:color w:val="auto"/>
        </w:rPr>
      </w:pPr>
    </w:p>
    <w:p>
      <w:pPr>
        <w:ind w:left="1300" w:hanging="644"/>
        <w:spacing w:after="0" w:line="256"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Certain charter amendments. </w:t>
      </w:r>
      <w:r>
        <w:rPr>
          <w:rFonts w:ascii="Times New Roman" w:cs="Times New Roman" w:eastAsia="Times New Roman" w:hAnsi="Times New Roman"/>
          <w:sz w:val="18"/>
          <w:szCs w:val="18"/>
          <w:color w:val="auto"/>
        </w:rPr>
        <w:t>Host Inc.’s charter contains provisions relating to restrictions on transfer and ownership of Host Inc.’s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fixing the size of the Board of Directors within the range set forth in the charter, removal of directors, the filling of vacancies, exculpation and indemnification of directors, calling special stockholder meetings and certain other provisions, all of which may be amended only by a resolution adopted by the Board of Directors and approved by Host Inc.’s stockholders holding two-thirds of the votes entitled to be cast on the matter. These provisions may make it more difficult to amend Host Inc.’s charter to alter the provisions described herein that could delay, defer or prevent a transaction or a change in control or the acquisition of Host Inc. common stock, without the approval of the Board of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tax consequences would occur if Host Inc. or its subsidiary REIT fails to qualify as a REIT.</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believe that each of Host Inc. and its subsidiary REIT has been organized and has operated in such a manner as to qualify as a REIT under the Code, commencing with its taxable year beginning January 1, 1999, and April 11, 2006, respectively, and both currently intend to continue to operate and qualify as a REIT during future years. As the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requirements for qualification and taxation as a REIT are extremely complex and interpretations of the federal income tax laws governing qualification and taxation as a REIT are limited, no assurance can be provided that Host Inc. currently qualifies as a REIT or will continue to qualify as a REIT or that Host Inc.’s subsidiary REIT qualifies as a REIT or will continue to qualify as a REIT. If our subsidiary REIT were to fail to qualify as a REIT, it is possible that Host Inc. would fail to qualify as a REIT unless it (or the subsidiary REIT) could avail itself of certain relief provisions. If Host Inc. or its subsidiary REIT were to fail to qualify as a REIT, and any available relief provisions do not apply, the non-qualifying REIT would not be allowed to take a deduction for dividends paid to its stockholders in computing its taxable income, and it would be subject to federal and state corporate income tax on its taxable income. Any such corporate income tax liability could be substantial and would reduce the non-qualifying REIT’s cash available for, among other things, operations and dividends to its stockholders. In addition, if Host Inc. were to fail to qualify as a REIT, it would not be required to pay dividends to its stockholders. Moreover, unless entitled to statutory relief, the non-qualifying REIT could not qualify as a REIT for the four taxable years following the year during which REIT qualification was lost.</w:t>
      </w:r>
    </w:p>
    <w:p>
      <w:pPr>
        <w:spacing w:after="0" w:line="19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To qualify as a REIT, each of Host Inc. and our subsidiary REIT is required to satisfy the requirements of several asset and gross income tests. Our ability to satisfy the asset tests depends upon our analysis of the characterization and fair market values of our assets, some of which are not susceptible to a precise determination of fair market value, and for which we will not obtain independent appraisals. Our compliance with the REIT asset and gross income tests requirements also depends upon our ability to successfully manage the composition of our gross income and assets on an ongoing basis. Accordingly, there can be no assurance that the U.S. Internal Revenue Service (the “IRS”) will not contend that our hotel leases, interests in subsidiaries, or interests in the securities of other issuers will not cause a violation of the REIT gross income and asset tests requirements.</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Any determination that Host Inc. or its subsidiary REIT does not qualify as a REIT will have a material adverse effect on our results of operations and could reduce materially the value of Host Inc.’s common stock. The additional corporate income tax liability of Host Inc. or the subsidiary REIT for the year, or years, in which it does not qualify as a REIT would reduce its cash flow available for investment, debt service or dividends to its stockholders.</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Furthermore, the entity not qualifying as a REIT no longer would be required to pay dividends to its stockholders as a condition to REIT qualification, and any dividends paid to stockholders would be taxable as C corporation dividends to the extent of its current and accumulated earnings and profits. This means that, if Host Inc. were to fail to qualify as a REIT, Host Inc.’s stockholders currently taxed as individuals would be taxed on dividends at capital gain tax rates and Host Inc.’s corporate stockholders generally would be entitled to the dividends received deduction with respect to such dividends, subject in each case to applicable limitations under the Code. Host Inc.’s failure to qualify as a REIT also would cause an event of default under Host L.P.’s credit facility, which default could lead to an acceleration of the amounts due thereunder, which, in turn, would constitute an event of default under Host L.P.’s outstanding debt securities.</w:t>
      </w:r>
    </w:p>
    <w:p>
      <w:pPr>
        <w:spacing w:after="0" w:line="1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hotel managers do not qualify as “eligible independent contractors,” or if our hotels are not “qualified lodging facilities,” each of Host Inc. and our subsidiary REIT will fail to qualify as a REIT.</w:t>
      </w:r>
    </w:p>
    <w:p>
      <w:pPr>
        <w:spacing w:after="0" w:line="15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Each hotel with respect to which our TRS pays rent must be a “qualified lodging facility.” A “qualified lodging facility” is a hotel, motel, or other establishment more than one-half of the dwelling units in which are used on a transient basis, including customary amenities and facilities, provided that no wagering activities are conducted at or in connection with such facility by any person who is engaged in the business of accepting wagers and who legally is authorized to engage in such business at or in connection with such facility. We believe that all the hotels leased to our TRS are qualified lodging facilities. However, the REIT provisions of the Code provide only limited guidance for making determinations of whether a leased hotel is considered a qualified lodging facility, and there can be no assurance that our leased hotels will be so considered in all cases.</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If our hotel managers do not qualify as “eligible independent contractors,” Host Inc. and our subsidiary REIT likely will fail to qualify as a REIT for federal income tax purposes. Each of the hotel management companies that enters into a management contract with our TRS must qualify as an “eligible independent contractor” under the REIT rules in order for the rent paid to Host Inc. and its subsidiary REIT by our TRS to be qualifying gross income for the REIT gross income tests requirements. Among other requirements, in order to qualify as an eligible independent contractor, a hotel manager cannot own more than 35% of our outstanding shares (by value) and no person or group of persons can own more than 35% of our outstanding shares and the ownership interests of the hotel manager, taking into account only owners of more than 5% of our shares and, with respect to ownership interests in such hotel managers that are publicly traded, only owners of more than 5% of such ownership interests. Complex ownership attribution rules apply for purposes of these 35% ownership thresholds. Although we monitor ownership of our shares by our hotel managers and their owners, and certain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provisions of our charter are designed to prevent ownership of our shares in violation of these rules, there can be no assurance that these ownership limits will not be exceeded.</w:t>
      </w:r>
    </w:p>
    <w:p>
      <w:pPr>
        <w:spacing w:after="0" w:line="15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 of our TRS is limited, and our transactions with our TRS will cause us to be subject to a 100% excise tax on certain income or deductions if such transactions are not conducted on arm’s-length terms.</w:t>
      </w:r>
    </w:p>
    <w:p>
      <w:pPr>
        <w:spacing w:after="0" w:line="15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 REIT may own up to 100% of the equity interests of an entity that is a regular C corporation for federal income tax purposes if the entity is a TRS. A TRS may own assets and earn gross income that would not be considered as qualifying assets or as qualifying gross income if owned or earned directly by a REIT, including revenues from hotel operations. Both the REIT and its C corporation subsidiary must jointly elect to treat such C corporation subsidiary as a TRS. A C corporation of which a TRS directly or indirectly owns more than 35% of the voting power or value of its stock or securities automatically will be treated as a TRS. No more than 20% of the total value of a REIT’s assets may consist of stock or securities of one or more TRS. Beginning after the calendar year ending December 31, 2025, the 20% threshold will increase to 25%.</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TRS will pay federal corporate income tax and applicable state and local corporate income tax and, if applicable, foreign corporate income tax on its taxable income. The after-tax net income of our TRS will be available for distribution to us as a taxable dividend to the extent of its current and accumulated earnings and profits, but it is not required to be so distributed. We believe that the aggregate value of the stock and securities of our TRS has been and will continue to be less than 20% of the total value of our assets (including our TRS stock and securities). Furthermore, we monitor the value of our investments in our TRS for the purpose of ensuring compliance with this 20% requirement. There can be no assurance, however, that we will be able to comply with the 20% value limitation discussed above.</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Rent paid to Host Inc. and its subsidiary REIT by our TRS cannot be based on its net income or profits for such rents to qualify as “rents from real property.” We receive “percentage rent” from our TRS that is calculated based on the gross revenues of the hotels subject to leases - not based on net income or profits of such hotels. If the IRS determines that the rent paid pursuant to our leases with our TRS are excessive, the deductibility thereof by the TRS may be challenged, and we could be subject to a 100% excise tax on “re-determined rent” or “re-determined deductions” to the extent that such rent exceeds an arm’s-length amount. We believe that our rent and other transactions between our REITs and their TRS are based on arm’s-length amounts and reflect normal business practices, but there can be no assurance that the IRS will agree with our belief.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Despite the REIT status of each of Host Inc. and its subsidiary REIT, we remain subject to various taxes.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Notwithstanding Host Inc.’s status as a REIT, Host Inc. and certain of its subsidiaries (including our subsidiary REIT) are subject to federal, state, local and foreign corporate taxes on their net income, gross receipts, net worth, and property, in certain cases. Host L.P. is obligated under its partnership agreement to pay all such taxes (and any related interest and penalties) incurred by Host Inc.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other actions affecting REITs could have a negative effect on us.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New legislation, treasury regulations, administrative interpretations or court decisions could change significantly the tax laws with respect to an entity’s qualification as a REIT or the federal income tax consequences of its REIT qualification.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Redemption of OP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holder who offers its OP units for redemption may have adverse tax consequences.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 limited partner who elects to redeem its OP units will be treated for federal and state income tax purposes as having sold the OP units, resulting in a taxable event to such limited partner. The gain or loss recognized by the limited partner is measured by the difference between the amount realized and the tax basis of the OP units redeemed (which tax basis includes the amount of the qualified nonrecourse liabilities of Host L.P. allocated to the redeemed OP units). It is possible that the amount of gain and/or the tax liability related thereto that the limited partner recognizes and pays could exceed the value of the common stock or cash received from the redemption of its OP units.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of Host Inc.’s common stock that are or become available for sale could affect the share price of Host Inc.’s common stock.</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have in the past issued and may in the future issue additional shares of common stock to raise the capital necessary to finance hotel acquisitions, fund capital expenditures, refinance debt or for other corporate purposes. Sales of a substantial number of shares of Host Inc.’s common stock, or the perception that sales could occur, could affect adversely prevailing market prices for Host Inc.’s common stock. In addition, limited partners of Host L.P. who redeem their OP units and receive, at Host Inc.’s election, shares of Host Inc. common stock will be able to sell those shares freely. As of December 31, 2025, there are approximately 9.4 million Host L.P. OP units outstanding that are owned by third parties and that are redeemable, which represents approximately 1% of all outstanding OP units. Further, shares of Host Inc.’s common stock have been and will be issued or reserved for issuance from time to time under our employee benefit plans. We currently maintain two stock-based compensation plans: (i) the comprehensive stock and cash incentive plan, and (ii) an employee stock purchase plan. As of December 31, 2025, there were approximately 22 million shares of Host Inc.’s common stock reserved and available for issuance under the comprehensive stock plan and employee stock purchase plan.</w:t>
      </w:r>
    </w:p>
    <w:p>
      <w:pPr>
        <w:spacing w:after="0" w:line="1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Elevated interest rates or future interest rate increases would increase the interest costs on our credit facility and on our floating rate indebtedness and could impact adversely our ability to refinance existing indebtedness or to sell assets.</w:t>
      </w:r>
    </w:p>
    <w:p>
      <w:pPr>
        <w:spacing w:after="0" w:line="15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Interest payments for borrowings on our credit facility and the mortgages on certain properties are based on floating rates. As a result, an increase in interest rates will reduce our cash flow available for other corporate purposes, including investments in our portfolio. As of December 31, 2025, approximately 20% of our debt is subject to floating interest rates. Elevated interest rates or future interest rate increases may limit our ability to refinance existing indebtedness when it matures and increase interest costs on any indebtedness that is refinanced. We may from time to time enter into agreements such as floating-to-fixed interest rate swaps, caps, floors and other hedging contracts in order to fully or partially hedge against the cash flow effects of changes in interest rates for floating rate debt. These agreements expose us to the risk that other parties to the agreements will not perform or that the agreements will be unenforceable. In addition, an increase in interest rates could decrease the amount third parties are willing to pay for our hotels, thereby limiting our ability to dispose of them as part of our business strategy.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the Americans with Disabilities Act and other government regulations can be costly.</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hotels are subject to various forms of regulation, including Title III of the Americans with Disabilities Act (“ADA”), building codes and regulations pertaining to fire and life safety. Under the ADA, all public accommodations are required to meet certain federal rules related to access and use by disabled persons and we incur capital expenditures to make our hotels accessible. In addition, we have committed to provide, and certain local laws and contracts between our hotel managers and hotel workers’ unions require our hotels to provide, our managers’ employees with safety devices, sometimes known as “panic buttons.” We fund the capital necessary to ensure that employees at our hotels will be equipped with these safety devices. These and other laws and regulations may be changed from time-to-time, or new regulations adopted, resulting in additional costs of compliance, including potential litigation. A determination that we are not in compliance with these laws and regulations could result in a court order to bring the hotel into compliance, imposition of civil penalties in cases brought by the Justice Department, or an award of attorneys’ fees to private litigants. Compliance with these laws and regulations could require substantial capital expenditures. Any increased costs could have a material adverse effect on our business, financial condition or results of operations. In addition, the operations of our foreign hotels are subject to a variety of United States and international laws and regulations, including the United States Foreign Corrupt Practices Act and other anti-corruption laws, but we cannot assure that we will continue to be found to be operating in compliance with, or be able to detect violations of, any such laws or regulations.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judgments or settlements could have a significant adverse effect on our financial condition.</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involved in various legal proceedings in the ordinary course of business and are defending these claims vigorously; however, no assurances can be given as to the outcome of any pending legal proceedings. We believe, based on currently available information, that the results of current proceedings, in the aggregate, will not have a material adverse effect on our financial condition, but might be material to our operating results for any period, depending, in part, upon the quantum of our operating results for such period. We also could become the subject of future claims by the operators of our hotels, individuals or companies who use our hotels, our investors, our joint venture partners or regulating entities and these claims could have a significant adverse effect on our financial condition and results of operations.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liabilities are possible and can be costly.</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hotels are subject to requirements and potential liabilities under various foreign and U.S. federal, state and local environmental laws, ordinances and regulations. Unidentified environmental liabilities could arise and have a material adverse effect on our financial condition and performance. Additionally, even after we have sold a hotel, we may be liable for environmental liabilities attributable to events that occurred during our ownership. Federal, state and local laws and regulations relating to the protection of the environment may require a current or previous owner or operator of real estate to investigate and remediate hazardous or toxic substances or petroleum product releases at the property. The owner or operator may be required to pay a governmental entity or third parties for property damage, and for investigation and remediation costs incurred by the parties in connection with the contamination. These laws typically impose clean-up responsibility and liability without regard to whether the owner or operator knew of or caused the presence of the contaminants. Even if more than one person may have been responsible for the contamination, each person covered by the environmental laws may be held responsible for all the clean-up costs incurred. In addition, third parties may sue the owner or operator of a site for damages and costs resulting from environmental contamination emanating from that site. Environmental laws also govern the presence, maintenance and removal of toxic or hazardous substances. These laws require that owners or operators of buildings properly manage and maintain these substances and notify and train those who may come into contact with them and undertake special precautions. These laws may impose fines and penalties on building owners or operators who fail to comply with these requirements and may allow third parties to seek recovery from owners or operators for personal injury associated with exposure to toxic or hazardous materials.</w:t>
      </w:r>
    </w:p>
    <w:p>
      <w:pPr>
        <w:spacing w:after="0" w:line="1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increased focus on metrics and reporting related to corporate responsibility, specifically related to environmental, social and governance ("ESG") factors, may impose additional costs and expose us to new risks.</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ESG evaluations, including ESG scores and ratings, are important to some investors and other stakeholders and may impact the price of our securities and business practices. Investors may focus on, and consider a company's ESG-related business practices, scores and reporting when choosing to allocate their capital in making investment decisions, including if they invest in our securities. Investors, customers, business partners and other stakeholders, as well as regulators and other groups, are increasingly focusing on ESG and sustainability commitments and performance. Further, the criteria used in these ratings systems change frequently, and we cannot guarantee that we will be able to score well as criteria change. Failure to participate in certain of the third-party ratings systems, failure to score well in those ratings systems or failure to provide certain ESG disclosures could result in reputational harm when investors or others compare us against similar companies in our industry and could cause certain investors to be unwilling to invest in our stock, which could adversely impact our ability to raise capital. At the same time, some stakeholders and regulators have expressed or pursued contrary views, legislation, and investment expectations with respect to ESG ratings and commitments, including the enactment or proposal of "anti-ESG" legislation or policies, which may expose us to additional legal or reputational risks based upon our ESG commitments and disclosures.</w:t>
      </w:r>
    </w:p>
    <w:p>
      <w:pPr>
        <w:spacing w:after="0" w:line="194" w:lineRule="exact"/>
        <w:rPr>
          <w:sz w:val="20"/>
          <w:szCs w:val="20"/>
          <w:color w:val="auto"/>
        </w:rPr>
      </w:pPr>
    </w:p>
    <w:p>
      <w:pPr>
        <w:ind w:right="540" w:firstLine="648"/>
        <w:spacing w:after="0" w:line="261" w:lineRule="auto"/>
        <w:rPr>
          <w:sz w:val="20"/>
          <w:szCs w:val="20"/>
          <w:color w:val="auto"/>
        </w:rPr>
      </w:pPr>
      <w:r>
        <w:rPr>
          <w:rFonts w:ascii="Times New Roman" w:cs="Times New Roman" w:eastAsia="Times New Roman" w:hAnsi="Times New Roman"/>
          <w:sz w:val="18"/>
          <w:szCs w:val="18"/>
          <w:color w:val="auto"/>
        </w:rPr>
        <w:t>In addition, the adoption of increased government regulations, changes in Federal, state and local legislation and regulations and changes in investor preference related to ESG and similar matters may result in changes to our business practices, including increasing expenses or capital expenditures. Other impacts related to ESG matters may include the costs of compliance with new or existing regulations, standards or reporting requirements regarding the environmental impacts of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have received no written comments regarding our periodic or current reports from the staff of the Securities and Exchange Commission that remain unresolved.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We design and assess our program using components of the National Institute of Standards and Technology Cybersecurity Framework ("NIST CSF"). This does not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imply that we meet any particular technical standards, specifications, or requirements, but rather that we use the NIST CSF as a guide to help us identify, assess, and manage cybersecurity risks relevant to our business.</w:t>
      </w:r>
    </w:p>
    <w:p>
      <w:pPr>
        <w:spacing w:after="0" w:line="16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 Our cybersecurity risk management program is led by our senior vice president of information technology who has over 25 years of information technology experience that includes application development, information technology infrastructure, security, business continuity, and engineering. He holds a master's degree in computer science and a bachelor of engineering in electrical engineering. Our vice president of cybersecurity reports to the senior vice president of information technology and has over 25 years of operations and security experience backed by an undergraduate degree in computer management and various technology and security certifications. Our vice president of cybersecurity is responsible for the day-to-day assessment and management of cybersecurity risk. Our cybersecurity risk management program includes the following key components, which allows the management team to stay informed about and monitor the prevention, detection, mitigation and remediation of key cybersecurity risks and incidents:</w:t>
      </w:r>
    </w:p>
    <w:p>
      <w:pPr>
        <w:spacing w:after="0" w:line="186" w:lineRule="exact"/>
        <w:rPr>
          <w:sz w:val="20"/>
          <w:szCs w:val="20"/>
          <w:color w:val="auto"/>
        </w:rPr>
      </w:pPr>
    </w:p>
    <w:p>
      <w:pPr>
        <w:ind w:left="1300" w:right="560" w:hanging="320"/>
        <w:spacing w:after="0" w:line="282"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technologies to proactively monitor vulnerabilities and reduce risk, maintaining security policies and standards, and regularly updating our response planning and protocols;</w:t>
      </w:r>
    </w:p>
    <w:p>
      <w:pPr>
        <w:spacing w:after="0" w:line="161" w:lineRule="exact"/>
        <w:rPr>
          <w:rFonts w:ascii="Times New Roman" w:cs="Times New Roman" w:eastAsia="Times New Roman" w:hAnsi="Times New Roman"/>
          <w:sz w:val="18"/>
          <w:szCs w:val="18"/>
          <w:color w:val="auto"/>
        </w:rPr>
      </w:pPr>
    </w:p>
    <w:p>
      <w:pPr>
        <w:ind w:left="1300" w:right="760" w:hanging="320"/>
        <w:spacing w:after="0" w:line="282"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business continuity, contingency and recovery plans, including a cybersecurity incident response plan that includes procedures for responding to cybersecurity incidents;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 third-party cybersecurity provider for emergency incident response services;</w:t>
      </w:r>
    </w:p>
    <w:p>
      <w:pPr>
        <w:spacing w:after="0" w:line="225" w:lineRule="exact"/>
        <w:rPr>
          <w:rFonts w:ascii="Times New Roman" w:cs="Times New Roman" w:eastAsia="Times New Roman" w:hAnsi="Times New Roman"/>
          <w:sz w:val="18"/>
          <w:szCs w:val="18"/>
          <w:color w:val="auto"/>
        </w:rPr>
      </w:pPr>
    </w:p>
    <w:p>
      <w:pPr>
        <w:ind w:left="1300" w:right="300" w:hanging="320"/>
        <w:spacing w:after="0" w:line="282"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assessments of our cybersecurity risk management program by a third-party security firm, as well as semi-annual vulnerability assessments and penetration testing by external service providers;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for employees as well as senior management, including quarterly refresher training;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cybersecurity assessments of certain third-party service providers with access to our employee data.</w:t>
      </w:r>
    </w:p>
    <w:p>
      <w:pPr>
        <w:spacing w:after="0" w:line="22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cybersecurity risk management program and processes, as described in this section, do not encompass the information technology systems of our third-party managers. As a REIT, we are required to retain third-party managers to run all operational aspects of our hotels, and our hotel managers are dependent on information technology networks and systems that they procure and manage directly or through their own third-party service providers, to access, process, transmit and store proprietary and hotel customer information. We do not have access to these systems or to hotel customer information, and we rely on the security programs, processes and systems of our managers to protect hotel operations and customer information from cybersecurity threats.</w:t>
      </w:r>
    </w:p>
    <w:p>
      <w:pPr>
        <w:spacing w:after="0" w:line="187"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17"/>
          <w:szCs w:val="17"/>
          <w:color w:val="auto"/>
        </w:rPr>
        <w:t xml:space="preserve">As of February 20, 2026, 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While we have not been materially affected by known cybersecurity threats affecting the Company, we and our hotel managers continue to face risks from cybersecurity threats that, if realized, could materially adversely affect us in the future. For more information on the risks related to cybersecurity threats, including threats faced by our hotel managers, see Part I, Item 1A. "Risk Factors — </w:t>
      </w:r>
      <w:r>
        <w:rPr>
          <w:rFonts w:ascii="Times New Roman" w:cs="Times New Roman" w:eastAsia="Times New Roman" w:hAnsi="Times New Roman"/>
          <w:sz w:val="17"/>
          <w:szCs w:val="17"/>
          <w:i w:val="1"/>
          <w:iCs w:val="1"/>
          <w:color w:val="auto"/>
        </w:rPr>
        <w:t>We face the risk of material data breaches and</w:t>
      </w:r>
    </w:p>
    <w:p>
      <w:pPr>
        <w:spacing w:after="0" w:line="3"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18"/>
          <w:szCs w:val="18"/>
          <w:i w:val="1"/>
          <w:iCs w:val="1"/>
          <w:color w:val="auto"/>
        </w:rPr>
        <w:t>disruptions of our managers’ or our own information technology systems, or the information technology systems of third parties on which we or our managers rely, which could materially adversely affect our business and results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oversight of cybersecurity and other information technology risks. The Audit Committee oversees management's implementation of our cybersecurity risk management program. The Audit Committee receives semi-annual updates on topics related to information security and cyber risks and readiness from our management team, including our senior vice president of information technology. Management updates the Audit Committee, as necessary, regarding any significant cybersecurity incidents. The Audit Committee reports to the full Board regarding its activities, including</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information security and cybersecurity risks, which are presented to the full Board at least annually as part of the Board's oversight of enterprise risk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Part I, Item 1. “Business—Our Consolidated Hotel Portfolio” above for a discussion of our hotels.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involved in various legal proceedings in the ordinary course of business, including, but not limited to, disputes involving hotel-level contracts, employment litigation, compliance with laws, such as the Americans with Disabilities Act, tax disputes and other general matters. We or our operators are defending these claims vigorously; however, no assurances can be given as to the outcome of any pending legal proceedings. We believe, based on currently available information, that the results of such proceedings, in the aggregate, will not have a material adverse effect on our financial condition, but might be material to our operating results for any period, depending, in part, upon the operating results for such period. We record a liability when a loss is considered probable and the amount can be reasonably estimated. For more information, see Note 17 in Item 8. – Financial Statements and Supplementary Data</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In the following table, we set forth certain information regarding those persons currently serving as executive officers of Host Inc. as of February 20, 2026. As a partnership, Host L.P. does not have executive officers.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80" w:type="dxa"/>
            <w:vAlign w:val="bottom"/>
            <w:vMerge w:val="restart"/>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vMerge w:val="restart"/>
          </w:tcPr>
          <w:p>
            <w:pPr>
              <w:spacing w:after="0"/>
              <w:rPr>
                <w:sz w:val="13"/>
                <w:szCs w:val="13"/>
                <w:color w:val="auto"/>
              </w:rPr>
            </w:pPr>
          </w:p>
        </w:tc>
        <w:tc>
          <w:tcPr>
            <w:tcW w:w="650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Business Experience Prior to Becoming an</w:t>
            </w:r>
          </w:p>
        </w:tc>
        <w:tc>
          <w:tcPr>
            <w:tcW w:w="0" w:type="dxa"/>
            <w:vAlign w:val="bottom"/>
          </w:tcPr>
          <w:p>
            <w:pPr>
              <w:spacing w:after="0"/>
              <w:rPr>
                <w:sz w:val="1"/>
                <w:szCs w:val="1"/>
                <w:color w:val="auto"/>
              </w:rPr>
            </w:pPr>
          </w:p>
        </w:tc>
      </w:tr>
      <w:tr>
        <w:trPr>
          <w:trHeight w:val="195"/>
        </w:trPr>
        <w:tc>
          <w:tcPr>
            <w:tcW w:w="3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FF0FC"/>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FF0FC"/>
            </w:tcBorders>
            <w:vMerge w:val="continue"/>
          </w:tcPr>
          <w:p>
            <w:pPr>
              <w:spacing w:after="0"/>
              <w:rPr>
                <w:sz w:val="16"/>
                <w:szCs w:val="16"/>
                <w:color w:val="auto"/>
              </w:rPr>
            </w:pPr>
          </w:p>
        </w:tc>
        <w:tc>
          <w:tcPr>
            <w:tcW w:w="650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4"/>
                <w:szCs w:val="14"/>
                <w:b w:val="1"/>
                <w:bCs w:val="1"/>
                <w:color w:val="auto"/>
              </w:rPr>
              <w:t>Executive Officer of Host Inc.</w:t>
            </w:r>
          </w:p>
        </w:tc>
        <w:tc>
          <w:tcPr>
            <w:tcW w:w="0" w:type="dxa"/>
            <w:vAlign w:val="bottom"/>
          </w:tcPr>
          <w:p>
            <w:pPr>
              <w:spacing w:after="0"/>
              <w:rPr>
                <w:sz w:val="1"/>
                <w:szCs w:val="1"/>
                <w:color w:val="auto"/>
              </w:rPr>
            </w:pPr>
          </w:p>
        </w:tc>
      </w:tr>
      <w:tr>
        <w:trPr>
          <w:trHeight w:val="221"/>
        </w:trPr>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Richard E. Marriott</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80" w:type="dxa"/>
            <w:vAlign w:val="bottom"/>
            <w:shd w:val="clear" w:color="auto" w:fill="CFF0FC"/>
          </w:tcPr>
          <w:p>
            <w:pPr>
              <w:spacing w:after="0"/>
              <w:rPr>
                <w:sz w:val="19"/>
                <w:szCs w:val="19"/>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Richard E. Marriott joined our company in 1965 and has served in various executive</w:t>
            </w:r>
          </w:p>
        </w:tc>
        <w:tc>
          <w:tcPr>
            <w:tcW w:w="0" w:type="dxa"/>
            <w:vAlign w:val="bottom"/>
          </w:tcPr>
          <w:p>
            <w:pPr>
              <w:spacing w:after="0"/>
              <w:rPr>
                <w:sz w:val="1"/>
                <w:szCs w:val="1"/>
                <w:color w:val="auto"/>
              </w:rPr>
            </w:pPr>
          </w:p>
        </w:tc>
      </w:tr>
      <w:tr>
        <w:trPr>
          <w:trHeight w:val="218"/>
        </w:trPr>
        <w:tc>
          <w:tcPr>
            <w:tcW w:w="37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Chairman of the Board</w:t>
            </w: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capacities. In 1979, Mr. Marriott was elected to the board of directors. In 1984, he was</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elected executive vice president, and in 1986, he was elected vice chairman of the board</w:t>
            </w:r>
          </w:p>
        </w:tc>
        <w:tc>
          <w:tcPr>
            <w:tcW w:w="0" w:type="dxa"/>
            <w:vAlign w:val="bottom"/>
          </w:tcPr>
          <w:p>
            <w:pPr>
              <w:spacing w:after="0"/>
              <w:rPr>
                <w:sz w:val="1"/>
                <w:szCs w:val="1"/>
                <w:color w:val="auto"/>
              </w:rPr>
            </w:pPr>
          </w:p>
        </w:tc>
      </w:tr>
      <w:tr>
        <w:trPr>
          <w:trHeight w:val="241"/>
        </w:trPr>
        <w:tc>
          <w:tcPr>
            <w:tcW w:w="36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6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 directors. In 1993, Mr. Marriott was elected chairman of the board.</w:t>
            </w:r>
          </w:p>
        </w:tc>
        <w:tc>
          <w:tcPr>
            <w:tcW w:w="0" w:type="dxa"/>
            <w:vAlign w:val="bottom"/>
          </w:tcPr>
          <w:p>
            <w:pPr>
              <w:spacing w:after="0"/>
              <w:rPr>
                <w:sz w:val="1"/>
                <w:szCs w:val="1"/>
                <w:color w:val="auto"/>
              </w:rPr>
            </w:pPr>
          </w:p>
        </w:tc>
      </w:tr>
      <w:tr>
        <w:trPr>
          <w:trHeight w:val="20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F. Risoleo</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8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 Risoleo joined our company in 1996 as senior vice president for acquisitions.</w:t>
            </w:r>
          </w:p>
        </w:tc>
        <w:tc>
          <w:tcPr>
            <w:tcW w:w="0" w:type="dxa"/>
            <w:vAlign w:val="bottom"/>
          </w:tcPr>
          <w:p>
            <w:pPr>
              <w:spacing w:after="0"/>
              <w:rPr>
                <w:sz w:val="1"/>
                <w:szCs w:val="1"/>
                <w:color w:val="auto"/>
              </w:rPr>
            </w:pPr>
          </w:p>
        </w:tc>
      </w:tr>
      <w:tr>
        <w:trPr>
          <w:trHeight w:val="216"/>
        </w:trPr>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 has served in various capacities with the company, including executive vice president</w:t>
            </w:r>
          </w:p>
        </w:tc>
        <w:tc>
          <w:tcPr>
            <w:tcW w:w="0" w:type="dxa"/>
            <w:vAlign w:val="bottom"/>
          </w:tcPr>
          <w:p>
            <w:pPr>
              <w:spacing w:after="0"/>
              <w:rPr>
                <w:sz w:val="1"/>
                <w:szCs w:val="1"/>
                <w:color w:val="auto"/>
              </w:rPr>
            </w:pPr>
          </w:p>
        </w:tc>
      </w:tr>
      <w:tr>
        <w:trPr>
          <w:trHeight w:val="231"/>
        </w:trPr>
        <w:tc>
          <w:tcPr>
            <w:tcW w:w="37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chief investment officer, managing director of the company's European and west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coast investment activities, and culminating in his service as president and chief</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 beginning in January 2017.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Sourav Ghosh</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80" w:type="dxa"/>
            <w:vAlign w:val="bottom"/>
            <w:shd w:val="clear" w:color="auto" w:fill="CFF0FC"/>
          </w:tcPr>
          <w:p>
            <w:pPr>
              <w:spacing w:after="0"/>
              <w:rPr>
                <w:sz w:val="18"/>
                <w:szCs w:val="18"/>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Sourav Ghosh joined our company in 2009 as vice president of business intelligence &amp;</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w:t>
            </w: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portfolio strategy. In 2017, he became the head of strategy &amp; analytics and in 2020 he</w:t>
            </w:r>
          </w:p>
        </w:tc>
        <w:tc>
          <w:tcPr>
            <w:tcW w:w="0" w:type="dxa"/>
            <w:vAlign w:val="bottom"/>
          </w:tcPr>
          <w:p>
            <w:pPr>
              <w:spacing w:after="0"/>
              <w:rPr>
                <w:sz w:val="1"/>
                <w:szCs w:val="1"/>
                <w:color w:val="auto"/>
              </w:rPr>
            </w:pPr>
          </w:p>
        </w:tc>
      </w:tr>
      <w:tr>
        <w:trPr>
          <w:trHeight w:val="257"/>
        </w:trPr>
        <w:tc>
          <w:tcPr>
            <w:tcW w:w="370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9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6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became chief financial officer.</w:t>
            </w:r>
          </w:p>
        </w:tc>
        <w:tc>
          <w:tcPr>
            <w:tcW w:w="0" w:type="dxa"/>
            <w:vAlign w:val="bottom"/>
          </w:tcPr>
          <w:p>
            <w:pPr>
              <w:spacing w:after="0"/>
              <w:rPr>
                <w:sz w:val="1"/>
                <w:szCs w:val="1"/>
                <w:color w:val="auto"/>
              </w:rPr>
            </w:pPr>
          </w:p>
        </w:tc>
      </w:tr>
      <w:tr>
        <w:trPr>
          <w:trHeight w:val="22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Julie P. Aslaksen</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8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Julie P. Aslaksen joined our company in November 2019 as executive vice president,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 General Counsel</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 Prior to joining our company, Ms. Aslaksen served as vice</w:t>
            </w:r>
          </w:p>
        </w:tc>
        <w:tc>
          <w:tcPr>
            <w:tcW w:w="0" w:type="dxa"/>
            <w:vAlign w:val="bottom"/>
          </w:tcPr>
          <w:p>
            <w:pPr>
              <w:spacing w:after="0"/>
              <w:rPr>
                <w:sz w:val="1"/>
                <w:szCs w:val="1"/>
                <w:color w:val="auto"/>
              </w:rPr>
            </w:pPr>
          </w:p>
        </w:tc>
      </w:tr>
      <w:tr>
        <w:trPr>
          <w:trHeight w:val="218"/>
        </w:trPr>
        <w:tc>
          <w:tcPr>
            <w:tcW w:w="37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and Secretary</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general counsel at General Dynamics Information Technology ("GDIT")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2017 to 2019. Prior to her role at GDIT, Ms. Aslaksen spent 14 years with General</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Dynamics Corporation, where she most recently served as staff vice president, deputy</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assistant secretary.</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Michael E. Lentz</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80" w:type="dxa"/>
            <w:vAlign w:val="bottom"/>
            <w:shd w:val="clear" w:color="auto" w:fill="CFF0FC"/>
          </w:tcPr>
          <w:p>
            <w:pPr>
              <w:spacing w:after="0"/>
              <w:rPr>
                <w:sz w:val="19"/>
                <w:szCs w:val="19"/>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Michael E. Lentz joined our company in March 2016 as managing director, global</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 Development, Design</w:t>
            </w: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development, design and construction. In February 2019, he was promoted to executive</w:t>
            </w:r>
          </w:p>
        </w:tc>
        <w:tc>
          <w:tcPr>
            <w:tcW w:w="0" w:type="dxa"/>
            <w:vAlign w:val="bottom"/>
          </w:tcPr>
          <w:p>
            <w:pPr>
              <w:spacing w:after="0"/>
              <w:rPr>
                <w:sz w:val="1"/>
                <w:szCs w:val="1"/>
                <w:color w:val="auto"/>
              </w:rPr>
            </w:pPr>
          </w:p>
        </w:tc>
      </w:tr>
      <w:tr>
        <w:trPr>
          <w:trHeight w:val="218"/>
        </w:trPr>
        <w:tc>
          <w:tcPr>
            <w:tcW w:w="37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i w:val="1"/>
                <w:iCs w:val="1"/>
                <w:color w:val="auto"/>
              </w:rPr>
              <w:t>&amp; Construction</w:t>
            </w: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vice president, development, design and construction. Prior to joining us, Mr. Lentz was</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vice president of global development for Las Vegas Sands Corp. from 2011 to</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2016 and before that was with Walt Disney Imagineering for 20 years, culminating in his</w:t>
            </w:r>
          </w:p>
        </w:tc>
        <w:tc>
          <w:tcPr>
            <w:tcW w:w="0" w:type="dxa"/>
            <w:vAlign w:val="bottom"/>
          </w:tcPr>
          <w:p>
            <w:pPr>
              <w:spacing w:after="0"/>
              <w:rPr>
                <w:sz w:val="1"/>
                <w:szCs w:val="1"/>
                <w:color w:val="auto"/>
              </w:rPr>
            </w:pPr>
          </w:p>
        </w:tc>
      </w:tr>
      <w:tr>
        <w:trPr>
          <w:trHeight w:val="241"/>
        </w:trPr>
        <w:tc>
          <w:tcPr>
            <w:tcW w:w="36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6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as vice president of project development.</w:t>
            </w:r>
          </w:p>
        </w:tc>
        <w:tc>
          <w:tcPr>
            <w:tcW w:w="0" w:type="dxa"/>
            <w:vAlign w:val="bottom"/>
          </w:tcPr>
          <w:p>
            <w:pPr>
              <w:spacing w:after="0"/>
              <w:rPr>
                <w:sz w:val="1"/>
                <w:szCs w:val="1"/>
                <w:color w:val="auto"/>
              </w:rPr>
            </w:pPr>
          </w:p>
        </w:tc>
      </w:tr>
      <w:tr>
        <w:trPr>
          <w:trHeight w:val="22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Joseph C. Ottinger</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8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C. Ottinger joined our company in August 1999, where he has held a series of</w:t>
            </w:r>
          </w:p>
        </w:tc>
        <w:tc>
          <w:tcPr>
            <w:tcW w:w="0" w:type="dxa"/>
            <w:vAlign w:val="bottom"/>
          </w:tcPr>
          <w:p>
            <w:pPr>
              <w:spacing w:after="0"/>
              <w:rPr>
                <w:sz w:val="1"/>
                <w:szCs w:val="1"/>
                <w:color w:val="auto"/>
              </w:rPr>
            </w:pPr>
          </w:p>
        </w:tc>
      </w:tr>
      <w:tr>
        <w:trPr>
          <w:trHeight w:val="216"/>
        </w:trPr>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Senior Vice President,</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reporting positions with increasing responsibilities. In 2012, he was promoted</w:t>
            </w:r>
          </w:p>
        </w:tc>
        <w:tc>
          <w:tcPr>
            <w:tcW w:w="0" w:type="dxa"/>
            <w:vAlign w:val="bottom"/>
          </w:tcPr>
          <w:p>
            <w:pPr>
              <w:spacing w:after="0"/>
              <w:rPr>
                <w:sz w:val="1"/>
                <w:szCs w:val="1"/>
                <w:color w:val="auto"/>
              </w:rPr>
            </w:pPr>
          </w:p>
        </w:tc>
      </w:tr>
      <w:tr>
        <w:trPr>
          <w:trHeight w:val="218"/>
        </w:trPr>
        <w:tc>
          <w:tcPr>
            <w:tcW w:w="3700" w:type="dxa"/>
            <w:vAlign w:val="bottom"/>
            <w:gridSpan w:val="2"/>
          </w:tcPr>
          <w:p>
            <w:pPr>
              <w:ind w:left="300"/>
              <w:spacing w:after="0"/>
              <w:rPr>
                <w:sz w:val="20"/>
                <w:szCs w:val="20"/>
                <w:color w:val="auto"/>
              </w:rPr>
            </w:pPr>
            <w:r>
              <w:rPr>
                <w:rFonts w:ascii="Times New Roman" w:cs="Times New Roman" w:eastAsia="Times New Roman" w:hAnsi="Times New Roman"/>
                <w:sz w:val="18"/>
                <w:szCs w:val="18"/>
                <w:i w:val="1"/>
                <w:iCs w:val="1"/>
                <w:color w:val="auto"/>
              </w:rPr>
              <w:t>Corporate Controller</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vice president, financial reporting and became assistant controller in 2017. On January</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2021, Mr. Ottinger began serving as senior vice president, corporate controller.</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Nathan S. Tyrrell</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80" w:type="dxa"/>
            <w:vAlign w:val="bottom"/>
            <w:shd w:val="clear" w:color="auto" w:fill="CFF0FC"/>
          </w:tcPr>
          <w:p>
            <w:pPr>
              <w:spacing w:after="0"/>
              <w:rPr>
                <w:sz w:val="19"/>
                <w:szCs w:val="19"/>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Nathan S. Tyrrell joined our finance department in 2005. He became treasurer in</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February 2010. In 2015, he was named managing director of investment activities for the</w:t>
            </w:r>
          </w:p>
        </w:tc>
        <w:tc>
          <w:tcPr>
            <w:tcW w:w="0" w:type="dxa"/>
            <w:vAlign w:val="bottom"/>
          </w:tcPr>
          <w:p>
            <w:pPr>
              <w:spacing w:after="0"/>
              <w:rPr>
                <w:sz w:val="1"/>
                <w:szCs w:val="1"/>
                <w:color w:val="auto"/>
              </w:rPr>
            </w:pPr>
          </w:p>
        </w:tc>
      </w:tr>
      <w:tr>
        <w:trPr>
          <w:trHeight w:val="243"/>
        </w:trPr>
        <w:tc>
          <w:tcPr>
            <w:tcW w:w="370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i w:val="1"/>
                <w:iCs w:val="1"/>
                <w:color w:val="auto"/>
              </w:rPr>
              <w:t>Chief Investment Officer</w:t>
            </w:r>
          </w:p>
        </w:tc>
        <w:tc>
          <w:tcPr>
            <w:tcW w:w="9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6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east coast, and in 2017 he was named executive vice president, chief investment officer.</w:t>
            </w:r>
          </w:p>
        </w:tc>
        <w:tc>
          <w:tcPr>
            <w:tcW w:w="0" w:type="dxa"/>
            <w:vAlign w:val="bottom"/>
          </w:tcPr>
          <w:p>
            <w:pPr>
              <w:spacing w:after="0"/>
              <w:rPr>
                <w:sz w:val="1"/>
                <w:szCs w:val="1"/>
                <w:color w:val="auto"/>
              </w:rPr>
            </w:pPr>
          </w:p>
        </w:tc>
      </w:tr>
      <w:tr>
        <w:trPr>
          <w:trHeight w:val="905"/>
        </w:trPr>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Stock, Related Stockholder Matters and Issuer Purchases of Equity Securities for Host Inc.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Host Inc.’s common stock is listed on the Nasdaq Stock Market and trades under the symbol “HST.”</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February 20, 2026, there were 13,901 holders of record of Host Inc.’s common stock. However, because many of the shares of our common stock are held by brokers and other institutions on behalf of stockholders, we believe that there are considerably more beneficial owners of our common stock than record holders. As of February 20, 2026, there were 972 limited partners of Host L.P. (in addition to Host Inc.). OP units are redeemable for cash, or, at our election, for Host Inc.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Return Performance</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five-year cumulative total stockholder return on the common stock of Host Inc. against the cumulative total returns of the Standard &amp; Poor’s Corporation Composite 500 Index and the National Association of Real Estate Investment Trust (“NAREIT”) Lodging Index. The graph assumes an initial investment of $100 in the common stock of Host Inc. and in each of the indices, and also assumes the reinvestment of dividends.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Five-Year Cumulative Stockholder Returns 2020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148590</wp:posOffset>
            </wp:positionV>
            <wp:extent cx="3968750" cy="24860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96875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7"/>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Host Hotels &amp; Resorts, Inc.</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118.87</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113.38</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136.65</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146.56</w:t>
            </w:r>
          </w:p>
        </w:tc>
      </w:tr>
      <w:tr>
        <w:trPr>
          <w:trHeight w:val="25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NAREIT Lodging Index</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124.07</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121.59</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115.35</w:t>
            </w:r>
          </w:p>
        </w:tc>
      </w:tr>
      <w:tr>
        <w:trPr>
          <w:trHeight w:val="263"/>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196.16</w:t>
            </w:r>
          </w:p>
        </w:tc>
      </w:tr>
    </w:tbl>
    <w:p>
      <w:pPr>
        <w:spacing w:after="0" w:line="29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“filed” for purposes of Section 18 of the Securities Exchange Act of 1934, as amended, or incorporated by reference into any filing of Host Inc. or Host L.P. (or any of their respective subsidiaries) under the Securities Act of 1933, as amended, except as shall be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Host Inc. Purchases of Equity Securities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On August 3, 2022, the Board of Directors authorized a $1 billion share repurchase program. The common stock may be purchased from time to time depending upon market conditions, and repurchases may be made in the open market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or through private transactions or by other means, including principal transactions with various financial institutions, accelerated share repurchases, forwards, options and similar transactions, and through one or more trading plans designed to comply with Rule 10b5-1 under the Securities Act of 1934, as amended. The program does not obligate us to repurchase any specific number of shares or any specific dollar amount and may be suspended at any time at our discretion, see “Management’s Discussion and Analysis of Financial Condition and Results of Operations – Financial Condition.”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1700" w:type="dxa"/>
            <w:vAlign w:val="bottom"/>
          </w:tcPr>
          <w:p>
            <w:pPr>
              <w:spacing w:after="0"/>
              <w:rPr>
                <w:sz w:val="15"/>
                <w:szCs w:val="15"/>
                <w:color w:val="auto"/>
              </w:rPr>
            </w:pPr>
          </w:p>
        </w:tc>
        <w:tc>
          <w:tcPr>
            <w:tcW w:w="30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Total Number of Host Inc.</w:t>
            </w:r>
          </w:p>
        </w:tc>
        <w:tc>
          <w:tcPr>
            <w:tcW w:w="1580" w:type="dxa"/>
            <w:vAlign w:val="bottom"/>
          </w:tcPr>
          <w:p>
            <w:pPr>
              <w:spacing w:after="0"/>
              <w:rPr>
                <w:sz w:val="15"/>
                <w:szCs w:val="15"/>
                <w:color w:val="auto"/>
              </w:rPr>
            </w:pPr>
          </w:p>
        </w:tc>
        <w:tc>
          <w:tcPr>
            <w:tcW w:w="230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Total Number of Common Shares</w:t>
            </w:r>
          </w:p>
        </w:tc>
      </w:tr>
      <w:tr>
        <w:trPr>
          <w:trHeight w:val="162"/>
        </w:trPr>
        <w:tc>
          <w:tcPr>
            <w:tcW w:w="1700" w:type="dxa"/>
            <w:vAlign w:val="bottom"/>
          </w:tcPr>
          <w:p>
            <w:pPr>
              <w:spacing w:after="0"/>
              <w:rPr>
                <w:sz w:val="14"/>
                <w:szCs w:val="14"/>
                <w:color w:val="auto"/>
              </w:rPr>
            </w:pPr>
          </w:p>
        </w:tc>
        <w:tc>
          <w:tcPr>
            <w:tcW w:w="30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5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30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Purchased as Part of Publicly</w:t>
            </w:r>
          </w:p>
        </w:tc>
      </w:tr>
      <w:tr>
        <w:trPr>
          <w:trHeight w:val="204"/>
        </w:trPr>
        <w:tc>
          <w:tcPr>
            <w:tcW w:w="1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0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5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per Common Share</w:t>
            </w:r>
          </w:p>
        </w:tc>
        <w:tc>
          <w:tcPr>
            <w:tcW w:w="230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r>
    </w:tbl>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Shares that May Yet Be</w:t>
      </w:r>
    </w:p>
    <w:p>
      <w:pPr>
        <w:spacing w:after="0" w:line="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Purchased</w:t>
      </w:r>
    </w:p>
    <w:p>
      <w:pPr>
        <w:spacing w:after="0" w:line="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Under the Plans or Programs (in</w:t>
      </w:r>
    </w:p>
    <w:p>
      <w:pPr>
        <w:spacing w:after="0" w:line="1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31" w:lineRule="exact"/>
        <w:rPr>
          <w:sz w:val="20"/>
          <w:szCs w:val="20"/>
          <w:color w:val="auto"/>
        </w:rPr>
      </w:pPr>
    </w:p>
    <w:p>
      <w:pPr>
        <w:sectPr>
          <w:pgSz w:w="11900" w:h="16838" w:orient="portrait"/>
          <w:cols w:equalWidth="0" w:num="2">
            <w:col w:w="8640" w:space="400"/>
            <w:col w:w="22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28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100" w:type="dxa"/>
            <w:vAlign w:val="bottom"/>
            <w:tcBorders>
              <w:top w:val="single" w:sz="8" w:color="CFF0FC"/>
            </w:tcBorders>
            <w:shd w:val="clear" w:color="auto" w:fill="CFF0FC"/>
          </w:tcPr>
          <w:p>
            <w:pPr>
              <w:spacing w:after="0"/>
              <w:rPr>
                <w:sz w:val="23"/>
                <w:szCs w:val="23"/>
                <w:color w:val="auto"/>
              </w:rPr>
            </w:pPr>
          </w:p>
        </w:tc>
        <w:tc>
          <w:tcPr>
            <w:tcW w:w="1680" w:type="dxa"/>
            <w:vAlign w:val="bottom"/>
            <w:tcBorders>
              <w:top w:val="single" w:sz="8" w:color="auto"/>
            </w:tcBorders>
            <w:shd w:val="clear" w:color="auto" w:fill="CFF0FC"/>
          </w:tcPr>
          <w:p>
            <w:pPr>
              <w:ind w:left="14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23"/>
                <w:szCs w:val="23"/>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23"/>
                <w:szCs w:val="23"/>
                <w:color w:val="auto"/>
              </w:rPr>
            </w:pPr>
          </w:p>
        </w:tc>
        <w:tc>
          <w:tcPr>
            <w:tcW w:w="2360" w:type="dxa"/>
            <w:vAlign w:val="bottom"/>
            <w:tcBorders>
              <w:top w:val="single" w:sz="8" w:color="auto"/>
            </w:tcBorders>
            <w:shd w:val="clear" w:color="auto" w:fill="CFF0FC"/>
          </w:tcPr>
          <w:p>
            <w:pPr>
              <w:ind w:left="2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23"/>
                <w:szCs w:val="23"/>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11"/>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2025 - November 30,</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68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18"/>
        </w:trPr>
        <w:tc>
          <w:tcPr>
            <w:tcW w:w="29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 2025 - December 31,</w:t>
            </w:r>
          </w:p>
        </w:tc>
        <w:tc>
          <w:tcPr>
            <w:tcW w:w="1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41"/>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ind w:left="14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2"/>
            <w:shd w:val="clear" w:color="auto" w:fill="CFF0FC"/>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57"/>
        </w:trPr>
        <w:tc>
          <w:tcPr>
            <w:tcW w:w="29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OP Units, Related Unitholder Matters and Issuer Purchases of Equity Securities for Host L.P.</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our common OP units and transfers of common OP units are restricted by the terms of Host L.P.’s partnership agreement. The number of holders of record of Host L.P.’s common OP units on February 20, 2026 was 972. The number of outstanding common OP units as of February 20, 2026 was 682,283,862, of which 672,851,030 were owned by Host Inc.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Host L.P. Purchases of Equity Securities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r>
      <w:tr>
        <w:trPr>
          <w:trHeight w:val="162"/>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Number of OP Units</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of OP Units that May Yet</w:t>
            </w:r>
          </w:p>
        </w:tc>
      </w:tr>
      <w:tr>
        <w:trPr>
          <w:trHeight w:val="162"/>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Host L.P.</w:t>
            </w:r>
          </w:p>
        </w:tc>
        <w:tc>
          <w:tcPr>
            <w:tcW w:w="4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 Purchased Under the</w:t>
            </w:r>
          </w:p>
        </w:tc>
      </w:tr>
      <w:tr>
        <w:trPr>
          <w:trHeight w:val="162"/>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OP Units</w:t>
            </w:r>
          </w:p>
        </w:tc>
        <w:tc>
          <w:tcPr>
            <w:tcW w:w="460" w:type="dxa"/>
            <w:vAlign w:val="bottom"/>
          </w:tcPr>
          <w:p>
            <w:pPr>
              <w:spacing w:after="0"/>
              <w:rPr>
                <w:sz w:val="14"/>
                <w:szCs w:val="14"/>
                <w:color w:val="auto"/>
              </w:rPr>
            </w:pPr>
          </w:p>
        </w:tc>
        <w:tc>
          <w:tcPr>
            <w:tcW w:w="254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(in</w:t>
            </w:r>
          </w:p>
        </w:tc>
      </w:tr>
      <w:tr>
        <w:trPr>
          <w:trHeight w:val="204"/>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460" w:type="dxa"/>
            <w:vAlign w:val="bottom"/>
          </w:tcPr>
          <w:p>
            <w:pPr>
              <w:spacing w:after="0"/>
              <w:rPr>
                <w:sz w:val="17"/>
                <w:szCs w:val="17"/>
                <w:color w:val="auto"/>
              </w:rPr>
            </w:pPr>
          </w:p>
        </w:tc>
        <w:tc>
          <w:tcPr>
            <w:tcW w:w="25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Paid per Common OP Unit</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
        </w:trPr>
        <w:tc>
          <w:tcPr>
            <w:tcW w:w="2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60" w:type="dxa"/>
            <w:vAlign w:val="bottom"/>
            <w:tcBorders>
              <w:bottom w:val="single" w:sz="8" w:color="CFF0FC"/>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5"/>
        </w:trPr>
        <w:tc>
          <w:tcPr>
            <w:tcW w:w="2960" w:type="dxa"/>
            <w:vAlign w:val="bottom"/>
            <w:gridSpan w:val="2"/>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October 1, 2025 - October 31, 2025</w:t>
            </w:r>
          </w:p>
        </w:tc>
        <w:tc>
          <w:tcPr>
            <w:tcW w:w="170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5,123</w:t>
            </w:r>
          </w:p>
        </w:tc>
        <w:tc>
          <w:tcPr>
            <w:tcW w:w="460" w:type="dxa"/>
            <w:vAlign w:val="bottom"/>
            <w:shd w:val="clear" w:color="auto" w:fill="CFF0FC"/>
          </w:tcPr>
          <w:p>
            <w:pPr>
              <w:jc w:val="right"/>
              <w:ind w:right="270"/>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540" w:type="dxa"/>
            <w:vAlign w:val="bottom"/>
            <w:gridSpan w:val="2"/>
            <w:shd w:val="clear" w:color="auto" w:fill="CFF0FC"/>
          </w:tcPr>
          <w:p>
            <w:pPr>
              <w:ind w:left="60"/>
              <w:spacing w:after="0" w:line="205" w:lineRule="exact"/>
              <w:rPr>
                <w:sz w:val="20"/>
                <w:szCs w:val="20"/>
                <w:color w:val="auto"/>
              </w:rPr>
            </w:pPr>
            <w:r>
              <w:rPr>
                <w:rFonts w:ascii="Times New Roman" w:cs="Times New Roman" w:eastAsia="Times New Roman" w:hAnsi="Times New Roman"/>
                <w:sz w:val="18"/>
                <w:szCs w:val="18"/>
                <w:color w:val="auto"/>
              </w:rPr>
              <w:t>1.021494 shares of Host Hotels</w:t>
            </w: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r>
      <w:tr>
        <w:trPr>
          <w:trHeight w:val="248"/>
        </w:trPr>
        <w:tc>
          <w:tcPr>
            <w:tcW w:w="2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5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&amp; Resorts, Inc. common stock</w:t>
            </w:r>
          </w:p>
        </w:tc>
        <w:tc>
          <w:tcPr>
            <w:tcW w:w="1780" w:type="dxa"/>
            <w:vAlign w:val="bottom"/>
            <w:gridSpan w:val="2"/>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2025 - November 30,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60,139</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1.021494 shares of Host Hotels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4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&amp; Resorts, Inc. common stock</w:t>
            </w:r>
          </w:p>
        </w:tc>
        <w:tc>
          <w:tcPr>
            <w:tcW w:w="1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9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 2025 - December 31,</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20,473</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5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1.021494 shares of Host Hotels</w:t>
            </w:r>
          </w:p>
        </w:tc>
        <w:tc>
          <w:tcPr>
            <w:tcW w:w="1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r>
      <w:tr>
        <w:trPr>
          <w:trHeight w:val="241"/>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5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&amp; Resorts, Inc. common stock</w:t>
            </w:r>
          </w:p>
        </w:tc>
        <w:tc>
          <w:tcPr>
            <w:tcW w:w="1780" w:type="dxa"/>
            <w:vAlign w:val="bottom"/>
            <w:gridSpan w:val="2"/>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9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85,735</w:t>
            </w:r>
          </w:p>
        </w:tc>
        <w:tc>
          <w:tcPr>
            <w:tcW w:w="4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Reflects common OP units offered for redemption by limited partners in exchange for shares of Host Inc.’s common stock.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ind w:right="240" w:firstLine="648"/>
        <w:spacing w:after="0" w:line="220" w:lineRule="exact"/>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and related notes included elsewhere in this report. This discussion focuses on our financial condition and results of operations for the year ended December 31, 2025 as compared to the year ended December 31, 2024. For a discussion and analysis of the year ended December 31, 2024 compared to the same period in 2023, please refer to Management’s Discussion and Analysis of Financial Condition and Results of Operations included in Part II Item 7 of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2024, filed with the SEC on February 26,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Host Inc. operates as a self-managed and self-administered REIT that owns hotels and conducts operations through Host L.P., of which Host Inc. is the sole general partner and of which it holds approximately 99% of its common OP units as of December 31, 2025. The remainder of Host L.P.’s common OP units are owned by various unaffiliated limited partners. Host Inc. has the exclusive and complete responsibility for Host L.P.’s day-to-day management and control.</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Host Inc. is the largest lodging REIT in NAREIT’s composite index and one of the largest owners of luxury and upper upscale hotels. As of February 20, 2026, we own 76 hotels in the United States, Canada and Brazil and have minority ownership interests in an additional 90 hotels through joint ventures in the United States. These hotels are operated primarily under brand names that are among the most respected and widely recognized in the lodging industry. Most of our hotels are located in central business districts of major cities, near airports and in resort/conference destinations.</w:t>
      </w:r>
    </w:p>
    <w:p>
      <w:pPr>
        <w:spacing w:after="0" w:line="18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Our customers fall into three broad groups: transient business, group business and contract business, which accounted for approximately 61%, 34%, and 5%, respectively, of our 2025 room sales. For a discussion of our customer categories, see “Item 1 Business – Our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Understanding Our Performance</w:t>
      </w:r>
    </w:p>
    <w:p>
      <w:pPr>
        <w:spacing w:after="0" w:line="225"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Revenues and Expenses. </w:t>
      </w:r>
      <w:r>
        <w:rPr>
          <w:rFonts w:ascii="Times New Roman" w:cs="Times New Roman" w:eastAsia="Times New Roman" w:hAnsi="Times New Roman"/>
          <w:sz w:val="17"/>
          <w:szCs w:val="17"/>
          <w:color w:val="auto"/>
        </w:rPr>
        <w:t>Our hotels are operated by third-party managers under long-term agreements, pursuant to which they typically earn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base and incentive management fees based on the levels of revenues and profitability of each hotel. We provide operating funds, or working capital, which the managers use to purchase inventory and to pay wages, utilities, property taxes and other hotel-level expenses. We generally receive a cash distribution from our hotel managers each month, which distribution reflects hotel-level sales less property-level operating expenses (excluding depreciation).</w:t>
      </w:r>
    </w:p>
    <w:p>
      <w:pPr>
        <w:spacing w:after="0" w:line="16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Hotel revenues represented approximately 98% of our total 2025 revenues, while the remaining 2% related to condominium sales. Operations from our domestic portfolio account for approximately 98% of our total hotel revenues and 2% relate to our five hotels in Canada and Brazil. The following table presents the components of our hotel revenues as a percentage of our total hotel revenues: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40" w:right="160" w:hanging="85"/>
        <w:spacing w:after="0" w:line="273" w:lineRule="auto"/>
        <w:tabs>
          <w:tab w:leader="none" w:pos="8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Rooms revenues</w:t>
      </w:r>
      <w:r>
        <w:rPr>
          <w:rFonts w:ascii="Times New Roman" w:cs="Times New Roman" w:eastAsia="Times New Roman" w:hAnsi="Times New Roman"/>
          <w:sz w:val="18"/>
          <w:szCs w:val="18"/>
          <w:color w:val="auto"/>
        </w:rPr>
        <w:t>. Occupancy and average daily room rate are the major drivers of rooms revenues. The business mix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hotel (group versus transient and retail versus discount business) is a significant driver of room rates.</w:t>
      </w:r>
    </w:p>
    <w:p>
      <w:pPr>
        <w:spacing w:after="0" w:line="1" w:lineRule="exact"/>
        <w:rPr>
          <w:rFonts w:ascii="Times New Roman" w:cs="Times New Roman" w:eastAsia="Times New Roman" w:hAnsi="Times New Roman"/>
          <w:sz w:val="18"/>
          <w:szCs w:val="18"/>
          <w:color w:val="auto"/>
        </w:rPr>
      </w:pPr>
    </w:p>
    <w:p>
      <w:pPr>
        <w:ind w:left="840" w:hanging="85"/>
        <w:spacing w:after="0" w:line="259" w:lineRule="auto"/>
        <w:tabs>
          <w:tab w:leader="none" w:pos="8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Food and beverage revenues</w:t>
      </w:r>
      <w:r>
        <w:rPr>
          <w:rFonts w:ascii="Times New Roman" w:cs="Times New Roman" w:eastAsia="Times New Roman" w:hAnsi="Times New Roman"/>
          <w:sz w:val="18"/>
          <w:szCs w:val="18"/>
          <w:color w:val="auto"/>
        </w:rPr>
        <w:t>. Food &amp; beverage revenues consist of revenues from group functions,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banquet revenues and audio and visual revenues, as well as outlet revenues from the restaurants and lounges at our hotels.</w:t>
      </w:r>
    </w:p>
    <w:p>
      <w:pPr>
        <w:spacing w:after="0" w:line="4" w:lineRule="exact"/>
        <w:rPr>
          <w:rFonts w:ascii="Times New Roman" w:cs="Times New Roman" w:eastAsia="Times New Roman" w:hAnsi="Times New Roman"/>
          <w:sz w:val="18"/>
          <w:szCs w:val="18"/>
          <w:color w:val="auto"/>
        </w:rPr>
      </w:pPr>
    </w:p>
    <w:p>
      <w:pPr>
        <w:ind w:left="840" w:right="480" w:hanging="85"/>
        <w:spacing w:after="0" w:line="259" w:lineRule="auto"/>
        <w:tabs>
          <w:tab w:leader="none" w:pos="8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revenues</w:t>
      </w:r>
      <w:r>
        <w:rPr>
          <w:rFonts w:ascii="Times New Roman" w:cs="Times New Roman" w:eastAsia="Times New Roman" w:hAnsi="Times New Roman"/>
          <w:sz w:val="18"/>
          <w:szCs w:val="18"/>
          <w:color w:val="auto"/>
        </w:rPr>
        <w:t>. Occupancy, the nature of the hotel (e.g., resort) and its price point are the main drivers of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ancillary revenues, such as attrition and cancelation fees, resort and destination fees, parking, golf courses, spas, entertainment and other guest services. This category also includes other rental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428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-1157605</wp:posOffset>
            </wp:positionV>
            <wp:extent cx="7132320" cy="3003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440" w:hanging="228"/>
        <w:spacing w:after="0"/>
        <w:tabs>
          <w:tab w:leader="none" w:pos="4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 2025</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Hotel Revenues</w:t>
      </w:r>
    </w:p>
    <w:p>
      <w:pPr>
        <w:spacing w:after="0" w:line="13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60%</w:t>
      </w:r>
    </w:p>
    <w:p>
      <w:pPr>
        <w:spacing w:after="0" w:line="36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0" w:lineRule="exact"/>
        <w:rPr>
          <w:sz w:val="20"/>
          <w:szCs w:val="20"/>
          <w:color w:val="auto"/>
        </w:rPr>
      </w:pPr>
    </w:p>
    <w:p>
      <w:pPr>
        <w:spacing w:after="0" w:line="26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w:t>
      </w:r>
    </w:p>
    <w:p>
      <w:pPr>
        <w:spacing w:after="0" w:line="458" w:lineRule="exact"/>
        <w:rPr>
          <w:sz w:val="20"/>
          <w:szCs w:val="20"/>
          <w:color w:val="auto"/>
        </w:rPr>
      </w:pPr>
    </w:p>
    <w:p>
      <w:pPr>
        <w:sectPr>
          <w:pgSz w:w="11900" w:h="16838" w:orient="portrait"/>
          <w:cols w:equalWidth="0" w:num="2">
            <w:col w:w="9380" w:space="340"/>
            <w:col w:w="1520"/>
          </w:cols>
          <w:pgMar w:left="320" w:top="121" w:right="33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Hotel operating expenses represent approximately 97% of our total operating costs and expenses. The following table presents the components of</w:t>
      </w:r>
    </w:p>
    <w:p>
      <w:pPr>
        <w:sectPr>
          <w:pgSz w:w="11900" w:h="16838" w:orient="portrait"/>
          <w:cols w:equalWidth="0" w:num="1">
            <w:col w:w="11220"/>
          </w:cols>
          <w:pgMar w:left="320" w:top="121" w:right="359" w:bottom="1440" w:gutter="0" w:footer="0" w:header="0"/>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hotel operating expenses as a percentage of our total hotel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4286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40" w:right="140" w:hanging="85"/>
        <w:spacing w:after="0" w:line="259" w:lineRule="auto"/>
        <w:tabs>
          <w:tab w:leader="none" w:pos="8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Rooms expenses</w:t>
      </w:r>
      <w:r>
        <w:rPr>
          <w:rFonts w:ascii="Times New Roman" w:cs="Times New Roman" w:eastAsia="Times New Roman" w:hAnsi="Times New Roman"/>
          <w:sz w:val="18"/>
          <w:szCs w:val="18"/>
          <w:color w:val="auto"/>
        </w:rPr>
        <w:t>. These costs include housekeeping, reservation systems, room supplies, laundry services and front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desk costs. Occupancy is the major driver of rooms expenses. These costs can increase based on increases in salaries and wages, as well as on the level of service and amenities that are provided.</w:t>
      </w:r>
    </w:p>
    <w:p>
      <w:pPr>
        <w:spacing w:after="0" w:line="4" w:lineRule="exact"/>
        <w:rPr>
          <w:rFonts w:ascii="Times New Roman" w:cs="Times New Roman" w:eastAsia="Times New Roman" w:hAnsi="Times New Roman"/>
          <w:sz w:val="18"/>
          <w:szCs w:val="18"/>
          <w:color w:val="auto"/>
        </w:rPr>
      </w:pPr>
    </w:p>
    <w:p>
      <w:pPr>
        <w:ind w:left="840" w:right="20" w:hanging="85"/>
        <w:spacing w:after="0" w:line="259" w:lineRule="auto"/>
        <w:tabs>
          <w:tab w:leader="none" w:pos="8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Food and beverage expenses</w:t>
      </w:r>
      <w:r>
        <w:rPr>
          <w:rFonts w:ascii="Times New Roman" w:cs="Times New Roman" w:eastAsia="Times New Roman" w:hAnsi="Times New Roman"/>
          <w:sz w:val="18"/>
          <w:szCs w:val="18"/>
          <w:color w:val="auto"/>
        </w:rPr>
        <w:t>. These expenses primarily include food, beverage and the associated labor costs and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correlate closely with food and beverage revenues. Group functions with banquet sales and audio and visual components generally will have lower overall costs as a percentage of revenues than outlet sales.</w:t>
      </w:r>
    </w:p>
    <w:p>
      <w:pPr>
        <w:spacing w:after="0" w:line="4" w:lineRule="exact"/>
        <w:rPr>
          <w:rFonts w:ascii="Times New Roman" w:cs="Times New Roman" w:eastAsia="Times New Roman" w:hAnsi="Times New Roman"/>
          <w:sz w:val="18"/>
          <w:szCs w:val="18"/>
          <w:color w:val="auto"/>
        </w:rPr>
      </w:pPr>
    </w:p>
    <w:p>
      <w:pPr>
        <w:ind w:left="840" w:right="120" w:hanging="85"/>
        <w:spacing w:after="0" w:line="251" w:lineRule="auto"/>
        <w:tabs>
          <w:tab w:leader="none" w:pos="8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departmental and support expenses</w:t>
      </w:r>
      <w:r>
        <w:rPr>
          <w:rFonts w:ascii="Times New Roman" w:cs="Times New Roman" w:eastAsia="Times New Roman" w:hAnsi="Times New Roman"/>
          <w:sz w:val="18"/>
          <w:szCs w:val="18"/>
          <w:color w:val="auto"/>
        </w:rPr>
        <w:t>. These expenses include labor and other costs associated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ancillary revenues, such as parking, golf courses, spas, entertainment and other guest services, as well as labor and other costs associated with administrative departments, allocated brand costs, sales and marketing, repairs and minor maintenance and utility costs.</w:t>
      </w:r>
    </w:p>
    <w:p>
      <w:pPr>
        <w:spacing w:after="0" w:line="11" w:lineRule="exact"/>
        <w:rPr>
          <w:rFonts w:ascii="Times New Roman" w:cs="Times New Roman" w:eastAsia="Times New Roman" w:hAnsi="Times New Roman"/>
          <w:sz w:val="18"/>
          <w:szCs w:val="18"/>
          <w:color w:val="auto"/>
        </w:rPr>
      </w:pPr>
    </w:p>
    <w:p>
      <w:pPr>
        <w:ind w:left="840" w:hanging="85"/>
        <w:spacing w:after="0" w:line="268" w:lineRule="auto"/>
        <w:tabs>
          <w:tab w:leader="none" w:pos="8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 fees</w:t>
      </w:r>
      <w:r>
        <w:rPr>
          <w:rFonts w:ascii="Times New Roman" w:cs="Times New Roman" w:eastAsia="Times New Roman" w:hAnsi="Times New Roman"/>
          <w:sz w:val="18"/>
          <w:szCs w:val="18"/>
          <w:color w:val="auto"/>
        </w:rPr>
        <w:t>. Base management fees are computed as a percentage of gross revenues. Incentive management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are paid when operating profits exceed certain thresholds.</w:t>
      </w:r>
    </w:p>
    <w:p>
      <w:pPr>
        <w:spacing w:after="0" w:line="10" w:lineRule="exact"/>
        <w:rPr>
          <w:rFonts w:ascii="Times New Roman" w:cs="Times New Roman" w:eastAsia="Times New Roman" w:hAnsi="Times New Roman"/>
          <w:sz w:val="18"/>
          <w:szCs w:val="18"/>
          <w:color w:val="auto"/>
        </w:rPr>
      </w:pPr>
    </w:p>
    <w:p>
      <w:pPr>
        <w:ind w:left="840" w:hanging="85"/>
        <w:spacing w:after="0" w:line="259" w:lineRule="auto"/>
        <w:tabs>
          <w:tab w:leader="none" w:pos="8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property-level expenses</w:t>
      </w:r>
      <w:r>
        <w:rPr>
          <w:rFonts w:ascii="Times New Roman" w:cs="Times New Roman" w:eastAsia="Times New Roman" w:hAnsi="Times New Roman"/>
          <w:sz w:val="18"/>
          <w:szCs w:val="18"/>
          <w:color w:val="auto"/>
        </w:rPr>
        <w:t>. These expenses consist primarily of real and personal property taxes, ground 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rent and property insurance. Many of these expenses are relatively inflexible and do not necessarily change based on changes in revenues at our hotels.</w:t>
      </w:r>
    </w:p>
    <w:p>
      <w:pPr>
        <w:spacing w:after="0" w:line="4" w:lineRule="exact"/>
        <w:rPr>
          <w:rFonts w:ascii="Times New Roman" w:cs="Times New Roman" w:eastAsia="Times New Roman" w:hAnsi="Times New Roman"/>
          <w:sz w:val="18"/>
          <w:szCs w:val="18"/>
          <w:color w:val="auto"/>
        </w:rPr>
      </w:pPr>
    </w:p>
    <w:p>
      <w:pPr>
        <w:ind w:left="840" w:right="240" w:hanging="85"/>
        <w:spacing w:after="0" w:line="259" w:lineRule="auto"/>
        <w:tabs>
          <w:tab w:leader="none" w:pos="8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 expense</w:t>
      </w:r>
      <w:r>
        <w:rPr>
          <w:rFonts w:ascii="Times New Roman" w:cs="Times New Roman" w:eastAsia="Times New Roman" w:hAnsi="Times New Roman"/>
          <w:sz w:val="18"/>
          <w:szCs w:val="18"/>
          <w:color w:val="auto"/>
        </w:rPr>
        <w:t>. This is a non-cash expense that changes primarily based on the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disposition of hotels and the amounts of historical capital expenditures. This component also can include impairment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-1715135</wp:posOffset>
            </wp:positionV>
            <wp:extent cx="7132320" cy="557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5575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-857885</wp:posOffset>
            </wp:positionV>
            <wp:extent cx="7132320" cy="4286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460" w:hanging="228"/>
        <w:spacing w:after="0"/>
        <w:tabs>
          <w:tab w:leader="none" w:pos="4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 2025</w:t>
      </w:r>
    </w:p>
    <w:p>
      <w:pPr>
        <w:spacing w:after="0" w:line="1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Hotel Operating</w:t>
      </w:r>
    </w:p>
    <w:p>
      <w:pPr>
        <w:spacing w:after="0" w:line="7"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458" w:lineRule="exact"/>
        <w:rPr>
          <w:sz w:val="20"/>
          <w:szCs w:val="20"/>
          <w:color w:val="auto"/>
        </w:rPr>
      </w:pPr>
    </w:p>
    <w:p>
      <w:pPr>
        <w:sectPr>
          <w:pgSz w:w="11900" w:h="16838" w:orient="portrait"/>
          <w:cols w:equalWidth="0" w:num="2">
            <w:col w:w="9360" w:space="340"/>
            <w:col w:w="1520"/>
          </w:cols>
          <w:pgMar w:left="320" w:top="121" w:right="359" w:bottom="1440" w:gutter="0" w:footer="0" w:header="0"/>
          <w:type w:val="continuous"/>
        </w:sectPr>
      </w:pPr>
    </w:p>
    <w:p>
      <w:pPr>
        <w:spacing w:after="0" w:line="9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expense components listed above are based on those presented in our consolidated statements of operations. It also is worth noting that wage and benefit costs are spread among various line items. Taken separately, these costs represent approximately 58% of our rooms, food and beverage, and other departmental and support expenses.</w:t>
      </w:r>
    </w:p>
    <w:p>
      <w:pPr>
        <w:spacing w:after="0" w:line="172"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Key Performance Indicators. </w:t>
      </w:r>
      <w:r>
        <w:rPr>
          <w:rFonts w:ascii="Times New Roman" w:cs="Times New Roman" w:eastAsia="Times New Roman" w:hAnsi="Times New Roman"/>
          <w:sz w:val="18"/>
          <w:szCs w:val="18"/>
          <w:color w:val="auto"/>
        </w:rPr>
        <w:t>The following key performance indicators commonly are used in the hospitality industry and we believe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useful information to management and investors in order to compare our performance with the performance of other lodging REITs:</w:t>
      </w:r>
    </w:p>
    <w:p>
      <w:pPr>
        <w:spacing w:after="0" w:line="157"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hotel occupancy </w:t>
      </w:r>
      <w:r>
        <w:rPr>
          <w:rFonts w:ascii="Times New Roman" w:cs="Times New Roman" w:eastAsia="Times New Roman" w:hAnsi="Times New Roman"/>
          <w:sz w:val="18"/>
          <w:szCs w:val="18"/>
          <w:color w:val="auto"/>
        </w:rPr>
        <w:t>is a volume indicator based on the percentage of available room nights that are sold;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daily rate (“ADR”) </w:t>
      </w:r>
      <w:r>
        <w:rPr>
          <w:rFonts w:ascii="Times New Roman" w:cs="Times New Roman" w:eastAsia="Times New Roman" w:hAnsi="Times New Roman"/>
          <w:sz w:val="18"/>
          <w:szCs w:val="18"/>
          <w:color w:val="auto"/>
        </w:rPr>
        <w:t>is a price indicator calculated by dividing rooms revenues by the number of rooms sold;</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61"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revenues per available room (“RevPAR”) </w:t>
      </w:r>
      <w:r>
        <w:rPr>
          <w:rFonts w:ascii="Times New Roman" w:cs="Times New Roman" w:eastAsia="Times New Roman" w:hAnsi="Times New Roman"/>
          <w:sz w:val="18"/>
          <w:szCs w:val="18"/>
          <w:color w:val="auto"/>
        </w:rPr>
        <w:t>is used to evaluate hotel operations. RevPAR is defined as the product of the average daily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room rate charged and the average daily occupancy achieved. RevPAR does not include food and beverage, parking, or other guest service revenues generated by the hotel. Although RevPAR does not include these ancillary revenues, it is considered a key indicator of core revenues for many hotels; and</w:t>
      </w:r>
    </w:p>
    <w:p>
      <w:pPr>
        <w:spacing w:after="0" w:line="179" w:lineRule="exact"/>
        <w:rPr>
          <w:rFonts w:ascii="Times New Roman" w:cs="Times New Roman" w:eastAsia="Times New Roman" w:hAnsi="Times New Roman"/>
          <w:sz w:val="18"/>
          <w:szCs w:val="18"/>
          <w:color w:val="auto"/>
        </w:rPr>
      </w:pPr>
    </w:p>
    <w:p>
      <w:pPr>
        <w:ind w:left="1300" w:right="20" w:hanging="644"/>
        <w:spacing w:after="0" w:line="267"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total revenues per available room (“Total RevPAR”) </w:t>
      </w:r>
      <w:r>
        <w:rPr>
          <w:rFonts w:ascii="Times New Roman" w:cs="Times New Roman" w:eastAsia="Times New Roman" w:hAnsi="Times New Roman"/>
          <w:sz w:val="18"/>
          <w:szCs w:val="18"/>
          <w:color w:val="auto"/>
        </w:rPr>
        <w:t>is a summary measure of hotel results calculated by dividing the sum of rooms, food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beverage and other ancillary services revenues by room nights available to guests for the period. It includes ancillary revenues that are not included in the calculation of RevPAR.</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RevPAR changes that are driven by occupancy have different implications on overall revenue levels, as well as incremental operating profit, than do changes that are driven by average room rate. For example, increases in occupancy at a hotel will lead to increases in rooms revenues and ancillary revenues, such as food and beverage revenues, as well as additional incremental costs (including housekeeping services, utilities and room amenity costs). RevPAR increases due to higher room rates, however, will not result in additional room-related costs, except those charged as a percentage of revenues. As a result, changes in RevPAR driven by increases or decreases in average room rates have a greater effect on profitability than do changes in RevPAR caused by occupancy levels.</w:t>
      </w:r>
    </w:p>
    <w:p>
      <w:pPr>
        <w:spacing w:after="0" w:line="18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We also evaluate the performance of our business through certain non-GAAP financial measures. Each of these non-GAAP financial measures should be considered by investors as supplemental measures to GAAP performance measures such as total revenues, operating profit, net income and earnings per share. We provide a more detailed discussion of these non-GAAP financial measures, how management uses such measures to evaluate our financial condition and operating performance and a discussion of certain limitations of such measures in “—Non-GAAP Financial Measures.” Our non-GAAP financial measures include:</w:t>
      </w:r>
    </w:p>
    <w:p>
      <w:pPr>
        <w:spacing w:after="0" w:line="181" w:lineRule="exact"/>
        <w:rPr>
          <w:sz w:val="20"/>
          <w:szCs w:val="20"/>
          <w:color w:val="auto"/>
        </w:rPr>
      </w:pPr>
    </w:p>
    <w:p>
      <w:pPr>
        <w:ind w:left="1300" w:right="140" w:hanging="644"/>
        <w:spacing w:after="0" w:line="258"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NAREIT Funds From Operations (“FFO”) and Adjusted FFO per diluted share. </w:t>
      </w:r>
      <w:r>
        <w:rPr>
          <w:rFonts w:ascii="Times New Roman" w:cs="Times New Roman" w:eastAsia="Times New Roman" w:hAnsi="Times New Roman"/>
          <w:sz w:val="18"/>
          <w:szCs w:val="18"/>
          <w:color w:val="auto"/>
        </w:rPr>
        <w:t>We use NAREIT FFO and Adjusted FFO per diluted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as supplemental measures of company-wide profitability. NAREIT adopted FFO to promote an industry-wide measure of REIT operating performance. We also adjust NAREIT FFO for gains and losses on extinguishment of debt, non-cash stock-based compensation, certain acquisition costs, litigation gains or losses outside the ordinary course of business and severance costs outside the ordinary course of business.</w:t>
      </w:r>
    </w:p>
    <w:p>
      <w:pPr>
        <w:spacing w:after="0" w:line="183" w:lineRule="exact"/>
        <w:rPr>
          <w:rFonts w:ascii="Times New Roman" w:cs="Times New Roman" w:eastAsia="Times New Roman" w:hAnsi="Times New Roman"/>
          <w:sz w:val="18"/>
          <w:szCs w:val="18"/>
          <w:color w:val="auto"/>
        </w:rPr>
      </w:pPr>
    </w:p>
    <w:p>
      <w:pPr>
        <w:ind w:left="1300" w:right="40" w:hanging="644"/>
        <w:spacing w:after="0" w:line="267"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Comparable hotel EBITDA. </w:t>
      </w:r>
      <w:r>
        <w:rPr>
          <w:rFonts w:ascii="Times New Roman" w:cs="Times New Roman" w:eastAsia="Times New Roman" w:hAnsi="Times New Roman"/>
          <w:sz w:val="18"/>
          <w:szCs w:val="18"/>
          <w:color w:val="auto"/>
        </w:rPr>
        <w:t>Hotel EBITDA measures property-level results before debt service, depreciation and corporate-level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(as this is a property level measure) and is a supplemental measure of aggregate property-level profitability. We use comparable hotel EBITDA and associated margins to evaluate the profitability of our comparable hotels.</w:t>
      </w:r>
    </w:p>
    <w:p>
      <w:pPr>
        <w:spacing w:after="0" w:line="173" w:lineRule="exact"/>
        <w:rPr>
          <w:rFonts w:ascii="Times New Roman" w:cs="Times New Roman" w:eastAsia="Times New Roman" w:hAnsi="Times New Roman"/>
          <w:sz w:val="18"/>
          <w:szCs w:val="18"/>
          <w:color w:val="auto"/>
        </w:rPr>
      </w:pPr>
    </w:p>
    <w:p>
      <w:pPr>
        <w:ind w:left="1300" w:right="140" w:hanging="644"/>
        <w:spacing w:after="0" w:line="257"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EBITDA, EBITDAre and Adjusted EBITDAre. </w:t>
      </w:r>
      <w:r>
        <w:rPr>
          <w:rFonts w:ascii="Times New Roman" w:cs="Times New Roman" w:eastAsia="Times New Roman" w:hAnsi="Times New Roman"/>
          <w:sz w:val="18"/>
          <w:szCs w:val="18"/>
          <w:color w:val="auto"/>
        </w:rPr>
        <w:t>Earnings before interest expense, income taxes,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(“EBITDA”) is a supplemental measure of our operating performance and facilitates comparisons between us and other lodging REITs, hotel owners who are not REITs and other capital-intensive companies. NAREIT adopted EBITDA for real estate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in order to promote an industry-wide measure of REIT operating performance. We also adjust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for property insurance gains and property damage losses, non-cash stock-based compensation, certain acquisition costs, litigation gains or losses outside the ordinary course of business and severance costs outside the ordinary course of business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2025 Operating Results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reflects certain line items from our audited consolidated statements of operations and the significant operating statistics for the two years ended December 31, 2025 (in millions, except per share and hotel statistics):</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Historical Income Statement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4140" w:type="dxa"/>
            <w:vAlign w:val="bottom"/>
            <w:tcBorders>
              <w:bottom w:val="single" w:sz="8" w:color="CFF0FC"/>
            </w:tcBorders>
          </w:tcPr>
          <w:p>
            <w:pPr>
              <w:spacing w:after="0"/>
              <w:rPr>
                <w:sz w:val="2"/>
                <w:szCs w:val="2"/>
                <w:color w:val="auto"/>
              </w:rPr>
            </w:pPr>
          </w:p>
        </w:tc>
        <w:tc>
          <w:tcPr>
            <w:tcW w:w="24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5,684</w:t>
            </w:r>
          </w:p>
        </w:tc>
        <w:tc>
          <w:tcPr>
            <w:tcW w:w="10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7.6%</w:t>
            </w:r>
          </w:p>
        </w:tc>
      </w:tr>
      <w:tr>
        <w:trPr>
          <w:trHeight w:val="25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2"/>
                <w:szCs w:val="22"/>
                <w:color w:val="auto"/>
              </w:rPr>
            </w:pP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9.8%</w:t>
            </w:r>
          </w:p>
        </w:tc>
      </w:tr>
      <w:tr>
        <w:trPr>
          <w:trHeight w:val="25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4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FF0FC"/>
          </w:tcPr>
          <w:p>
            <w:pPr>
              <w:spacing w:after="0"/>
              <w:rPr>
                <w:sz w:val="22"/>
                <w:szCs w:val="22"/>
                <w:color w:val="auto"/>
              </w:rPr>
            </w:pPr>
          </w:p>
        </w:tc>
        <w:tc>
          <w:tcPr>
            <w:tcW w:w="1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r>
      <w:tr>
        <w:trPr>
          <w:trHeight w:val="25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 margin under GAAP</w:t>
            </w:r>
          </w:p>
        </w:tc>
        <w:tc>
          <w:tcPr>
            <w:tcW w:w="2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bps</w:t>
            </w:r>
          </w:p>
        </w:tc>
      </w:tr>
      <w:tr>
        <w:trPr>
          <w:trHeight w:val="257"/>
        </w:trPr>
        <w:tc>
          <w:tcPr>
            <w:tcW w:w="4140" w:type="dxa"/>
            <w:vAlign w:val="bottom"/>
            <w:shd w:val="clear" w:color="auto" w:fill="CFF0FC"/>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EBITDAre </w:t>
            </w:r>
            <w:r>
              <w:rPr>
                <w:rFonts w:ascii="MS PGothic" w:cs="MS PGothic" w:eastAsia="MS PGothic" w:hAnsi="MS PGothic"/>
                <w:sz w:val="23"/>
                <w:szCs w:val="23"/>
                <w:color w:val="auto"/>
                <w:vertAlign w:val="superscript"/>
              </w:rPr>
              <w:t>⁽</w:t>
            </w:r>
            <w:r>
              <w:rPr>
                <w:rFonts w:ascii="Times New Roman" w:cs="Times New Roman" w:eastAsia="Times New Roman" w:hAnsi="Times New Roman"/>
                <w:sz w:val="23"/>
                <w:szCs w:val="23"/>
                <w:color w:val="auto"/>
                <w:vertAlign w:val="superscript"/>
              </w:rPr>
              <w:t>¹</w:t>
            </w:r>
            <w:r>
              <w:rPr>
                <w:rFonts w:ascii="MS PGothic" w:cs="MS PGothic" w:eastAsia="MS PGothic" w:hAnsi="MS PGothic"/>
                <w:sz w:val="23"/>
                <w:szCs w:val="23"/>
                <w:color w:val="auto"/>
                <w:vertAlign w:val="superscript"/>
              </w:rPr>
              <w:t>⁾</w:t>
            </w:r>
          </w:p>
        </w:tc>
        <w:tc>
          <w:tcPr>
            <w:tcW w:w="2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FF0FC"/>
          </w:tcPr>
          <w:p>
            <w:pPr>
              <w:spacing w:after="0"/>
              <w:rPr>
                <w:sz w:val="22"/>
                <w:szCs w:val="22"/>
                <w:color w:val="auto"/>
              </w:rPr>
            </w:pPr>
          </w:p>
        </w:tc>
        <w:tc>
          <w:tcPr>
            <w:tcW w:w="1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0.3%</w:t>
            </w:r>
          </w:p>
        </w:tc>
      </w:tr>
      <w:tr>
        <w:trPr>
          <w:trHeight w:val="256"/>
        </w:trPr>
        <w:tc>
          <w:tcPr>
            <w:tcW w:w="41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EBITDAre </w:t>
            </w:r>
            <w:r>
              <w:rPr>
                <w:rFonts w:ascii="MS PGothic" w:cs="MS PGothic" w:eastAsia="MS PGothic" w:hAnsi="MS PGothic"/>
                <w:sz w:val="23"/>
                <w:szCs w:val="23"/>
                <w:color w:val="auto"/>
                <w:vertAlign w:val="superscript"/>
              </w:rPr>
              <w:t>⁽</w:t>
            </w:r>
            <w:r>
              <w:rPr>
                <w:rFonts w:ascii="Times New Roman" w:cs="Times New Roman" w:eastAsia="Times New Roman" w:hAnsi="Times New Roman"/>
                <w:sz w:val="23"/>
                <w:szCs w:val="23"/>
                <w:color w:val="auto"/>
                <w:vertAlign w:val="superscript"/>
              </w:rPr>
              <w:t>¹</w:t>
            </w:r>
            <w:r>
              <w:rPr>
                <w:rFonts w:ascii="MS PGothic" w:cs="MS PGothic" w:eastAsia="MS PGothic" w:hAnsi="MS PGothic"/>
                <w:sz w:val="23"/>
                <w:szCs w:val="23"/>
                <w:color w:val="auto"/>
                <w:vertAlign w:val="superscript"/>
              </w:rPr>
              <w:t>⁾</w:t>
            </w:r>
          </w:p>
        </w:tc>
        <w:tc>
          <w:tcPr>
            <w:tcW w:w="2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22"/>
                <w:szCs w:val="22"/>
                <w:color w:val="auto"/>
              </w:rPr>
            </w:pP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4.6%</w:t>
            </w:r>
          </w:p>
        </w:tc>
      </w:tr>
      <w:tr>
        <w:trPr>
          <w:trHeight w:val="270"/>
        </w:trPr>
        <w:tc>
          <w:tcPr>
            <w:tcW w:w="4140" w:type="dxa"/>
            <w:vAlign w:val="bottom"/>
            <w:shd w:val="clear" w:color="auto" w:fill="CFF0FC"/>
          </w:tcPr>
          <w:p>
            <w:pPr>
              <w:spacing w:after="0"/>
              <w:rPr>
                <w:sz w:val="23"/>
                <w:szCs w:val="23"/>
                <w:color w:val="auto"/>
              </w:rPr>
            </w:pPr>
          </w:p>
        </w:tc>
        <w:tc>
          <w:tcPr>
            <w:tcW w:w="244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1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1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580" w:type="dxa"/>
            <w:vAlign w:val="bottom"/>
            <w:shd w:val="clear" w:color="auto" w:fill="CFF0FC"/>
          </w:tcPr>
          <w:p>
            <w:pPr>
              <w:spacing w:after="0"/>
              <w:rPr>
                <w:sz w:val="23"/>
                <w:szCs w:val="23"/>
                <w:color w:val="auto"/>
              </w:rPr>
            </w:pPr>
          </w:p>
        </w:tc>
      </w:tr>
      <w:tr>
        <w:trPr>
          <w:trHeight w:val="25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22"/>
                <w:szCs w:val="22"/>
                <w:color w:val="auto"/>
              </w:rPr>
            </w:pP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11.1%</w:t>
            </w:r>
          </w:p>
        </w:tc>
      </w:tr>
      <w:tr>
        <w:trPr>
          <w:trHeight w:val="256"/>
        </w:trPr>
        <w:tc>
          <w:tcPr>
            <w:tcW w:w="4140" w:type="dxa"/>
            <w:vAlign w:val="bottom"/>
            <w:shd w:val="clear" w:color="auto" w:fill="CFF0FC"/>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NAREIT FFO per diluted share </w:t>
            </w:r>
            <w:r>
              <w:rPr>
                <w:rFonts w:ascii="MS PGothic" w:cs="MS PGothic" w:eastAsia="MS PGothic" w:hAnsi="MS PGothic"/>
                <w:sz w:val="23"/>
                <w:szCs w:val="23"/>
                <w:color w:val="auto"/>
                <w:vertAlign w:val="superscript"/>
              </w:rPr>
              <w:t>⁽</w:t>
            </w:r>
            <w:r>
              <w:rPr>
                <w:rFonts w:ascii="Times New Roman" w:cs="Times New Roman" w:eastAsia="Times New Roman" w:hAnsi="Times New Roman"/>
                <w:sz w:val="23"/>
                <w:szCs w:val="23"/>
                <w:color w:val="auto"/>
                <w:vertAlign w:val="superscript"/>
              </w:rPr>
              <w:t>¹</w:t>
            </w:r>
            <w:r>
              <w:rPr>
                <w:rFonts w:ascii="MS PGothic" w:cs="MS PGothic" w:eastAsia="MS PGothic" w:hAnsi="MS PGothic"/>
                <w:sz w:val="23"/>
                <w:szCs w:val="23"/>
                <w:color w:val="auto"/>
                <w:vertAlign w:val="superscript"/>
              </w:rPr>
              <w:t>⁾</w:t>
            </w:r>
          </w:p>
        </w:tc>
        <w:tc>
          <w:tcPr>
            <w:tcW w:w="24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FF0FC"/>
          </w:tcPr>
          <w:p>
            <w:pPr>
              <w:spacing w:after="0"/>
              <w:rPr>
                <w:sz w:val="22"/>
                <w:szCs w:val="22"/>
                <w:color w:val="auto"/>
              </w:rPr>
            </w:pPr>
          </w:p>
        </w:tc>
        <w:tc>
          <w:tcPr>
            <w:tcW w:w="1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3.0%</w:t>
            </w:r>
          </w:p>
        </w:tc>
      </w:tr>
      <w:tr>
        <w:trPr>
          <w:trHeight w:val="359"/>
        </w:trPr>
        <w:tc>
          <w:tcPr>
            <w:tcW w:w="4140" w:type="dxa"/>
            <w:vAlign w:val="bottom"/>
          </w:tcPr>
          <w:p>
            <w:pPr>
              <w:ind w:left="20"/>
              <w:spacing w:after="0" w:line="265" w:lineRule="exact"/>
              <w:rPr>
                <w:sz w:val="20"/>
                <w:szCs w:val="20"/>
                <w:color w:val="auto"/>
              </w:rPr>
            </w:pPr>
            <w:r>
              <w:rPr>
                <w:rFonts w:ascii="Times New Roman" w:cs="Times New Roman" w:eastAsia="Times New Roman" w:hAnsi="Times New Roman"/>
                <w:sz w:val="18"/>
                <w:szCs w:val="18"/>
                <w:color w:val="auto"/>
              </w:rPr>
              <w:t xml:space="preserve">Adjusted FFO per diluted share </w:t>
            </w:r>
            <w:r>
              <w:rPr>
                <w:rFonts w:ascii="MS PGothic" w:cs="MS PGothic" w:eastAsia="MS PGothic" w:hAnsi="MS PGothic"/>
                <w:sz w:val="23"/>
                <w:szCs w:val="23"/>
                <w:color w:val="auto"/>
                <w:vertAlign w:val="superscript"/>
              </w:rPr>
              <w:t>⁽</w:t>
            </w:r>
            <w:r>
              <w:rPr>
                <w:rFonts w:ascii="Times New Roman" w:cs="Times New Roman" w:eastAsia="Times New Roman" w:hAnsi="Times New Roman"/>
                <w:sz w:val="23"/>
                <w:szCs w:val="23"/>
                <w:color w:val="auto"/>
                <w:vertAlign w:val="superscript"/>
              </w:rPr>
              <w:t>¹</w:t>
            </w:r>
            <w:r>
              <w:rPr>
                <w:rFonts w:ascii="MS PGothic" w:cs="MS PGothic" w:eastAsia="MS PGothic" w:hAnsi="MS PGothic"/>
                <w:sz w:val="23"/>
                <w:szCs w:val="23"/>
                <w:color w:val="auto"/>
                <w:vertAlign w:val="superscript"/>
              </w:rPr>
              <w:t>⁾</w:t>
            </w:r>
          </w:p>
        </w:tc>
        <w:tc>
          <w:tcPr>
            <w:tcW w:w="2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4"/>
                <w:szCs w:val="24"/>
                <w:color w:val="auto"/>
              </w:rPr>
            </w:pP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3.5%</w:t>
            </w:r>
          </w:p>
        </w:tc>
      </w:tr>
      <w:tr>
        <w:trPr>
          <w:trHeight w:val="802"/>
        </w:trPr>
        <w:tc>
          <w:tcPr>
            <w:tcW w:w="4140" w:type="dxa"/>
            <w:vAlign w:val="bottom"/>
          </w:tcPr>
          <w:p>
            <w:pPr>
              <w:spacing w:after="0"/>
              <w:rPr>
                <w:sz w:val="24"/>
                <w:szCs w:val="24"/>
                <w:color w:val="auto"/>
              </w:rPr>
            </w:pPr>
          </w:p>
        </w:tc>
        <w:tc>
          <w:tcPr>
            <w:tcW w:w="24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Comparable Hotel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ind w:left="6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2025 Comparable Hotels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¹</w:t>
            </w:r>
            <w:r>
              <w:rPr>
                <w:rFonts w:ascii="MS PGothic" w:cs="MS PGothic" w:eastAsia="MS PGothic" w:hAnsi="MS PGothic"/>
                <w:sz w:val="14"/>
                <w:szCs w:val="14"/>
                <w:color w:val="auto"/>
              </w:rPr>
              <w:t>⁾</w:t>
            </w:r>
          </w:p>
        </w:tc>
        <w:tc>
          <w:tcPr>
            <w:tcW w:w="1280" w:type="dxa"/>
            <w:vAlign w:val="bottom"/>
            <w:tcBorders>
              <w:bottom w:val="single" w:sz="8" w:color="auto"/>
            </w:tcBorders>
          </w:tcPr>
          <w:p>
            <w:pPr>
              <w:spacing w:after="0"/>
              <w:rPr>
                <w:sz w:val="19"/>
                <w:szCs w:val="19"/>
                <w:color w:val="auto"/>
              </w:rPr>
            </w:pPr>
          </w:p>
        </w:tc>
      </w:tr>
      <w:tr>
        <w:trPr>
          <w:trHeight w:val="186"/>
        </w:trPr>
        <w:tc>
          <w:tcPr>
            <w:tcW w:w="6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65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6540" w:type="dxa"/>
            <w:vAlign w:val="bottom"/>
            <w:shd w:val="clear" w:color="auto" w:fill="CFF0FC"/>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Comparable hotel revenues </w:t>
            </w:r>
            <w:r>
              <w:rPr>
                <w:rFonts w:ascii="MS PGothic" w:cs="MS PGothic" w:eastAsia="MS PGothic" w:hAnsi="MS PGothic"/>
                <w:sz w:val="23"/>
                <w:szCs w:val="23"/>
                <w:color w:val="auto"/>
                <w:vertAlign w:val="superscript"/>
              </w:rPr>
              <w:t>⁽</w:t>
            </w:r>
            <w:r>
              <w:rPr>
                <w:rFonts w:ascii="Times New Roman" w:cs="Times New Roman" w:eastAsia="Times New Roman" w:hAnsi="Times New Roman"/>
                <w:sz w:val="23"/>
                <w:szCs w:val="23"/>
                <w:color w:val="auto"/>
                <w:vertAlign w:val="superscript"/>
              </w:rPr>
              <w:t>¹</w:t>
            </w:r>
            <w:r>
              <w:rPr>
                <w:rFonts w:ascii="MS PGothic" w:cs="MS PGothic" w:eastAsia="MS PGothic" w:hAnsi="MS PGothic"/>
                <w:sz w:val="23"/>
                <w:szCs w:val="23"/>
                <w:color w:val="auto"/>
                <w:vertAlign w:val="superscript"/>
              </w:rPr>
              <w:t>⁾</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5,856</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5,637</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3.9%</w:t>
            </w:r>
          </w:p>
        </w:tc>
      </w:tr>
      <w:tr>
        <w:trPr>
          <w:trHeight w:val="257"/>
        </w:trPr>
        <w:tc>
          <w:tcPr>
            <w:tcW w:w="65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Comparable hotel EBITDA </w:t>
            </w:r>
            <w:r>
              <w:rPr>
                <w:rFonts w:ascii="MS PGothic" w:cs="MS PGothic" w:eastAsia="MS PGothic" w:hAnsi="MS PGothic"/>
                <w:sz w:val="23"/>
                <w:szCs w:val="23"/>
                <w:color w:val="auto"/>
                <w:vertAlign w:val="superscript"/>
              </w:rPr>
              <w:t>⁽</w:t>
            </w:r>
            <w:r>
              <w:rPr>
                <w:rFonts w:ascii="Times New Roman" w:cs="Times New Roman" w:eastAsia="Times New Roman" w:hAnsi="Times New Roman"/>
                <w:sz w:val="23"/>
                <w:szCs w:val="23"/>
                <w:color w:val="auto"/>
                <w:vertAlign w:val="superscript"/>
              </w:rPr>
              <w:t>¹</w:t>
            </w:r>
            <w:r>
              <w:rPr>
                <w:rFonts w:ascii="MS PGothic" w:cs="MS PGothic" w:eastAsia="MS PGothic" w:hAnsi="MS PGothic"/>
                <w:sz w:val="23"/>
                <w:szCs w:val="23"/>
                <w:color w:val="auto"/>
                <w:vertAlign w:val="superscript"/>
              </w:rPr>
              <w:t>⁾</w:t>
            </w:r>
          </w:p>
        </w:tc>
        <w:tc>
          <w:tcPr>
            <w:tcW w:w="340" w:type="dxa"/>
            <w:vAlign w:val="bottom"/>
          </w:tcPr>
          <w:p>
            <w:pPr>
              <w:spacing w:after="0"/>
              <w:rPr>
                <w:sz w:val="22"/>
                <w:szCs w:val="22"/>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2.5%</w:t>
            </w:r>
          </w:p>
        </w:tc>
      </w:tr>
      <w:tr>
        <w:trPr>
          <w:trHeight w:val="257"/>
        </w:trPr>
        <w:tc>
          <w:tcPr>
            <w:tcW w:w="6540" w:type="dxa"/>
            <w:vAlign w:val="bottom"/>
            <w:shd w:val="clear" w:color="auto" w:fill="CFF0FC"/>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Comparable hotel EBITDA margin </w:t>
            </w:r>
            <w:r>
              <w:rPr>
                <w:rFonts w:ascii="MS PGothic" w:cs="MS PGothic" w:eastAsia="MS PGothic" w:hAnsi="MS PGothic"/>
                <w:sz w:val="23"/>
                <w:szCs w:val="23"/>
                <w:color w:val="auto"/>
                <w:vertAlign w:val="superscript"/>
              </w:rPr>
              <w:t>⁽</w:t>
            </w:r>
            <w:r>
              <w:rPr>
                <w:rFonts w:ascii="Times New Roman" w:cs="Times New Roman" w:eastAsia="Times New Roman" w:hAnsi="Times New Roman"/>
                <w:sz w:val="23"/>
                <w:szCs w:val="23"/>
                <w:color w:val="auto"/>
                <w:vertAlign w:val="superscript"/>
              </w:rPr>
              <w:t>¹</w:t>
            </w:r>
            <w:r>
              <w:rPr>
                <w:rFonts w:ascii="MS PGothic" w:cs="MS PGothic" w:eastAsia="MS PGothic" w:hAnsi="MS PGothic"/>
                <w:sz w:val="23"/>
                <w:szCs w:val="23"/>
                <w:color w:val="auto"/>
                <w:vertAlign w:val="superscript"/>
              </w:rPr>
              <w:t>⁾</w:t>
            </w:r>
          </w:p>
        </w:tc>
        <w:tc>
          <w:tcPr>
            <w:tcW w:w="3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bps</w:t>
            </w:r>
          </w:p>
        </w:tc>
      </w:tr>
      <w:tr>
        <w:trPr>
          <w:trHeight w:val="257"/>
        </w:trPr>
        <w:tc>
          <w:tcPr>
            <w:tcW w:w="65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Comparable hotel Total RevPAR </w:t>
            </w:r>
            <w:r>
              <w:rPr>
                <w:rFonts w:ascii="MS PGothic" w:cs="MS PGothic" w:eastAsia="MS PGothic" w:hAnsi="MS PGothic"/>
                <w:sz w:val="23"/>
                <w:szCs w:val="23"/>
                <w:color w:val="auto"/>
                <w:vertAlign w:val="superscript"/>
              </w:rPr>
              <w:t>⁽</w:t>
            </w:r>
            <w:r>
              <w:rPr>
                <w:rFonts w:ascii="Times New Roman" w:cs="Times New Roman" w:eastAsia="Times New Roman" w:hAnsi="Times New Roman"/>
                <w:sz w:val="23"/>
                <w:szCs w:val="23"/>
                <w:color w:val="auto"/>
                <w:vertAlign w:val="superscript"/>
              </w:rPr>
              <w:t>¹</w:t>
            </w:r>
            <w:r>
              <w:rPr>
                <w:rFonts w:ascii="MS PGothic" w:cs="MS PGothic" w:eastAsia="MS PGothic" w:hAnsi="MS PGothic"/>
                <w:sz w:val="23"/>
                <w:szCs w:val="23"/>
                <w:color w:val="auto"/>
                <w:vertAlign w:val="superscript"/>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382.83</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367.53</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4.2%</w:t>
            </w:r>
          </w:p>
        </w:tc>
      </w:tr>
      <w:tr>
        <w:trPr>
          <w:trHeight w:val="256"/>
        </w:trPr>
        <w:tc>
          <w:tcPr>
            <w:tcW w:w="6540" w:type="dxa"/>
            <w:vAlign w:val="bottom"/>
            <w:shd w:val="clear" w:color="auto" w:fill="CFF0FC"/>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Comparable hotel RevPAR </w:t>
            </w:r>
            <w:r>
              <w:rPr>
                <w:rFonts w:ascii="MS PGothic" w:cs="MS PGothic" w:eastAsia="MS PGothic" w:hAnsi="MS PGothic"/>
                <w:sz w:val="23"/>
                <w:szCs w:val="23"/>
                <w:color w:val="auto"/>
                <w:vertAlign w:val="superscript"/>
              </w:rPr>
              <w:t>⁽</w:t>
            </w:r>
            <w:r>
              <w:rPr>
                <w:rFonts w:ascii="Times New Roman" w:cs="Times New Roman" w:eastAsia="Times New Roman" w:hAnsi="Times New Roman"/>
                <w:sz w:val="23"/>
                <w:szCs w:val="23"/>
                <w:color w:val="auto"/>
                <w:vertAlign w:val="superscript"/>
              </w:rPr>
              <w:t>¹</w:t>
            </w:r>
            <w:r>
              <w:rPr>
                <w:rFonts w:ascii="MS PGothic" w:cs="MS PGothic" w:eastAsia="MS PGothic" w:hAnsi="MS PGothic"/>
                <w:sz w:val="23"/>
                <w:szCs w:val="23"/>
                <w:color w:val="auto"/>
                <w:vertAlign w:val="superscript"/>
              </w:rPr>
              <w:t>⁾</w:t>
            </w:r>
          </w:p>
        </w:tc>
        <w:tc>
          <w:tcPr>
            <w:tcW w:w="340" w:type="dxa"/>
            <w:vAlign w:val="bottom"/>
            <w:shd w:val="clear" w:color="auto" w:fill="CFF0FC"/>
          </w:tcPr>
          <w:p>
            <w:pPr>
              <w:spacing w:after="0"/>
              <w:rPr>
                <w:sz w:val="22"/>
                <w:szCs w:val="22"/>
                <w:color w:val="auto"/>
              </w:rPr>
            </w:pPr>
          </w:p>
        </w:tc>
        <w:tc>
          <w:tcPr>
            <w:tcW w:w="112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229.24</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2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220.84</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-1096010</wp:posOffset>
            </wp:positionV>
            <wp:extent cx="94615" cy="749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4615" cy="7493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21" w:lineRule="exact"/>
        <w:rPr>
          <w:sz w:val="20"/>
          <w:szCs w:val="20"/>
          <w:color w:val="auto"/>
        </w:rPr>
      </w:pPr>
    </w:p>
    <w:p>
      <w:pPr>
        <w:ind w:left="500" w:right="60" w:hanging="492"/>
        <w:spacing w:after="0" w:line="260" w:lineRule="auto"/>
        <w:tabs>
          <w:tab w:leader="none" w:pos="49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EBITDAre, Adjusted EBITDAre, NAREIT FFO per diluted share and Adjusted FFO per diluted share and comparable hotel operating results (including hotel revenues and hotel EBITDA and margins) are non-GAAP financial measures within the meaning of the rules of the SEC. See “Non-GAAP Financial Measures” and “Comparable Hotel Operating Statistics and Results” for more information on these measures, including why we believe these supplemental measures are useful, reconciliations to the most directly comparable GAAP measure, and the limitations on the use of these supplemental measures. Additionally, comparable hotel results and statistics are based on 76 comparable hotels as of December 31, 2025 and include adjustments for non-comparable hotels, dispositions and acquisitions. See "Comparable Hotel RevPAR Overview" for results of the portfolio based on our ownership period, without these adjustments.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Total revenues increased $430 million, or 7.6%, compared to 2024, due to improvements in room revenues driven by strong short-term transient demand, coupled with increased out-of-room spend driving food and beverage and other revenues. In addition, $99 million of revenues were recognized during 2025 from the sale of 16 condominium units in the development adjacent to the Four Seasons Resort Orlando at Walt Disney World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Resort. Total revenues also benefited from a full year of operations for the 2024 acquisitions of the 1 Hotel Nashville and Embassy Suites by Hilton Nashville Downtown, 1 Hotel Central Park and The Ritz-Carlton O'ahu, Turtle Bay. However, this was partially offset by the 2025 dispositions of The Westin Cincinnati and Washington Marriott at Metro Center, as well as the closure of The Don CeSar through March 26, 2025, following the impacts of Hurricanes Helene and Milton. Comparable hotel RevPAR increased 3.8%, compared to 2024, primarily due to an increase in average room rates of 4.4%, while occupancy remained relatively flat compared to 2024. Strong transient demand, along with the continuing recovery in Maui, collectively more than offset a decline in group demand due to less short-term bookings in the year and planned renovation disruption.</w:t>
      </w:r>
    </w:p>
    <w:p>
      <w:pPr>
        <w:spacing w:after="0" w:line="20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Comparable hotel Total RevPAR increased 4.2% for the year, primarily due to the rate increases and improvements in food and beverage revenues driven by strength in transient business, as well as strong spa and other ancillary revenues. The growth was led by our Atlanta and Maui markets with increases of 16.2% and 13.7%, respectively, compared to 2024, as Atlanta benefitted from the completion of renovation projects underway in 2024 and Maui experienced a strong recovery in 2025 from the 2023 wildfires. In addition, comparable hotel Total RevPAR increased at some of our larger markets, including San Francisco and New York with increases of 12.7% and 12.2%, respectively, due to strong demand from city-wide events and transient demand. These strong performances were partially offset by comparable hotel Total RevPAR declines at our Austin and San Diego markets of 17.2% and 5.3%, respectively. The declines in these markets were driven primarily by large-scale renovation projects at certain properties, while Austin was further impacted by the multi-year closure of the city's convention center that started earlier in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expected, margins during the year were affected by an increase in wages expense compared to 2024, though increases in room rates were able to offset the impact. This, coupled with an $86 million decrease in net gains on insurance settlements, led to an operating profit margin (calculated based on GAAP operating profit as a percentage of GAAP revenues) decline of 140 basis points to 14.0% in 2025, compared to 15.4% in 2024. Operating profit margins under GAAP are also significantly affected by several items, including acquisitions, dispositions, depreciation expense and corporate expenses. Our comparable hotel EBITDA margins, which exclude these items, declined 40 basis points to 28.9% for the year, down from 29.3% in 2024 as operational improvements were offset by the increase in wages expense compared to 2024 and a decrease in net gains on insurance settlements of $21 million for comparable hotels.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Adjusted EBITDA</w:t>
      </w:r>
      <w:r>
        <w:rPr>
          <w:rFonts w:ascii="Times New Roman" w:cs="Times New Roman" w:eastAsia="Times New Roman" w:hAnsi="Times New Roman"/>
          <w:sz w:val="18"/>
          <w:szCs w:val="18"/>
          <w:b w:val="1"/>
          <w:bCs w:val="1"/>
          <w:i w:val="1"/>
          <w:iCs w:val="1"/>
          <w:color w:val="auto"/>
        </w:rPr>
        <w:t>re,</w:t>
      </w:r>
      <w:r>
        <w:rPr>
          <w:rFonts w:ascii="Times New Roman" w:cs="Times New Roman" w:eastAsia="Times New Roman" w:hAnsi="Times New Roman"/>
          <w:sz w:val="18"/>
          <w:szCs w:val="18"/>
          <w:b w:val="1"/>
          <w:bCs w:val="1"/>
          <w:color w:val="auto"/>
        </w:rPr>
        <w:t xml:space="preserve"> Diluted Earnings per Common Share, and Adjusted FFO per Diluted Share</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Net income for Host Inc. increased $69 million, or 9.8%, to $776 million, primarily due to improvements in operating results and $148 million of gains on asset sales during the year, partially offset by the decrease in net gains on insurance settlements noted above and increases in wage and benefit expense, interest expense and income taxes. In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$17 million of net income was recognized during 2025 from the sale of 16 condominium units in the development adjacent to the Four Seasons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Resort Orlando at Walt Disney® Resort. These changes, combined with the benefit of share repurchases in 2025 and 2024, led to an 11.1% increase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earnings per common share for Host Inc. to $1.10.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which excludes gain on property insurance, gain on sale of assets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among other items, increased 4.6% to $1,757 million, reflecting improvements in revenues from operations and the condominium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 the decline in business interruption proceeds and increases in wages and benefits. Adjusted FFO per diluted share increased 3.5%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$2.07 in 2025, reflecting the changes in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the impact of share repurchases in 2025 and 2024, partially offset by increases in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and income taxes.</w:t>
      </w:r>
    </w:p>
    <w:p>
      <w:pPr>
        <w:spacing w:after="0" w:line="207" w:lineRule="exact"/>
        <w:rPr>
          <w:sz w:val="20"/>
          <w:szCs w:val="20"/>
          <w:color w:val="auto"/>
        </w:rPr>
      </w:pPr>
    </w:p>
    <w:p>
      <w:pPr>
        <w:ind w:right="120" w:firstLine="648"/>
        <w:spacing w:after="0" w:line="312" w:lineRule="auto"/>
        <w:rPr>
          <w:sz w:val="20"/>
          <w:szCs w:val="20"/>
          <w:color w:val="auto"/>
        </w:rPr>
      </w:pPr>
      <w:r>
        <w:rPr>
          <w:rFonts w:ascii="Times New Roman" w:cs="Times New Roman" w:eastAsia="Times New Roman" w:hAnsi="Times New Roman"/>
          <w:sz w:val="17"/>
          <w:szCs w:val="17"/>
          <w:color w:val="auto"/>
        </w:rPr>
        <w:t>The trends and transactions described above for Host Inc. affected similarly the operating results for Host L.P., as the only significant difference between the Host Inc. and Host L.P. statements of operations relates to the treatment of income attributable to the unaffiliated limited partners of Host 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Outlook</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Throughout 2025, strong leisure transient demand led to comparable hotel RevPAR growth of 3.8% compared to 2024. Results reflect the improving leisure demand on Maui and an increase in transient revenue driven by higher average rates, particularly at our resorts. While recent economic policy changes created heightened uncertainty, higher-income earners were undeterred in 2025 and continued to travel which supported our overall results. These trends are expected to continue into 2026, although performance is likely to remain uneven across markets and lodging chain scales. The U.S. continues to face a persistent imbalance between strong outbound travel and a delayed recovery in international inbound visitation. While inbound travel is expected to rebound modestly in 2026, supported in part by the FIFA World Cup games hosted in the United States, the recovery is expected to be partial rather than complete, as tariff-related sentiment and visa restrictions continue to limit the U.S.'s competitiveness as an international destination. Maui is expected to continue its recovery in 2026.</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From a macroeconomic perspective, economic conditions during 2025 remained generally supportive to economic growth, though increasingly bifurcated across income groups and sectors with sustained high-income consumer spending, and through continued business investment, particularly in artificial intelligence. Lodging demand has historically moved with broader economic activity, though the industry's post-pandemic recovery has been more uneven than that of the overall economy. As a result, lodging performance in 2025 reflected a more pronounced bifurcation than the broader economy, with luxury and upper upscale tiers delivering growth while lower chain scales exhibited heightened sensitivity to shifts in discretionary spending, pricing power, and demand composition. Looking ahead to 2026, the divided nature of the economic trends are expected to persist, with discretionary spending and travel demand increasingly concentrated among higher-income households. These households represent the majority of the customers at our hotels, which operate in the luxury and upper-upscale tiers. Inflation is expected to remain above the Federal Reserve’s target in 2026, reinforcing a cautious monetary policy backdrop and limiting the scope for aggressive rate cuts, while elevated policy uncertainty and higher-for-longer interest rates present downside risks to growth. Despite these risks, the U.S. economy is expected to remain on a firm growth path, with real GDP projected to grow approximately 2.4% and business investment expected to grow approximately 3.2%, according to the February 2026 Blue Chip Economic Indicators.</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Hotel supply growth is anticipated to remain below the historical average, although we expect to see above-average growth in a few markets where our hotels are located. Supply chain challenges, which may be exacerbated by current tariffs and trade policies, have resulted in project delays across the U.S., and a prolonged tight lending environment has created construction financing challenges for future projects. We anticipate that the construction pipeline will remain modest until macroeconomic uncertainty moderates and interest rates decline further.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on the trends noted, we expect comparable hotel RevPAR growth for the full year 2026 will be between 2.0% and 3.5%.</w:t>
      </w:r>
    </w:p>
    <w:p>
      <w:pPr>
        <w:spacing w:after="0" w:line="225"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As discussed above, the current outlook for the lodging industry remains uncertain, reflecting varying analyst assumptions surrounding the impact of trade policy, elevated inflation and interest rates, concerns regarding U.S. economic growth, the current travel imbalance due to the decrease in inbound travel to the United States and escalating geopolitical conflicts. Therefore, there can be no assurances as to lodging demand performance for any number of reasons, including, but not limited to, deteriorating macroeconomic conditions. For more information on the risks that can affect our future results, see Part I, Item 1A. “Risk Factors.”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Initiatives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For 2026, we intend to continue our disciplined approach to capital allocation to strengthen our portfolio and to deliver stockholder value through multiple levers, which may include, over time and dependent on market conditions, acquiring hotels or investing in our portfolio. We intend to take advantage of our strong capital position and overall scale to acquire upper-upscale and luxury properties, through single asset or portfolio acquisitions, that we believe have sustainable competitive advantages to drive long-term value to the extent favorable pricing opportunities arise. At the same time, we will opportunistically sell hotels when market conditions permit. We also continue to critically analyze our portfolio to seek to take advantage of the inherent value of our real estate for its highest and best use.</w:t>
      </w:r>
    </w:p>
    <w:p>
      <w:pPr>
        <w:spacing w:after="0" w:line="183"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Dispositions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2025, we sold The Westin Cincinnati and the Washington Marriott at Metro Center in separate transactions for a total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$237 million, including $2 million of FF&amp;E funds retained by us, and provided a $114 million loan to the buyer of the Washington Marriott at Metro Center maturing in 2027, subject to the purchaser's right to extend until 2028 if certain conditions are satisfied.</w:t>
      </w:r>
    </w:p>
    <w:p>
      <w:pPr>
        <w:spacing w:after="0" w:line="17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Subsequent to year-end, we sold the Four Seasons Resort Orlando at Walt Disney World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Resort and the Four Seasons Resort and Residences Jackson Hole for a sales price of $1.1 billion. The proceeds will be net of $23 million for the buyer's acquisition of the FF&amp;E reserves. We also sold The St. Regis Houston subsequent to year end for $51 million.</w:t>
      </w:r>
    </w:p>
    <w:p>
      <w:pPr>
        <w:spacing w:after="0" w:line="20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 2025, the Asia/Pacific joint venture, in which we own a 25% interest, sold its 36% share in two separate joint ventures in India to the existing shareholders thereof, representing our exit from our Asia investment. Our portion of the net proceeds to be received is approximately INR 1,550 million ($17 million).</w:t>
      </w:r>
    </w:p>
    <w:p>
      <w:pPr>
        <w:spacing w:after="0" w:line="17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Projects. </w:t>
      </w:r>
      <w:r>
        <w:rPr>
          <w:rFonts w:ascii="Times New Roman" w:cs="Times New Roman" w:eastAsia="Times New Roman" w:hAnsi="Times New Roman"/>
          <w:sz w:val="18"/>
          <w:szCs w:val="18"/>
          <w:color w:val="auto"/>
        </w:rPr>
        <w:t>We continue to pursue opportunities to enhance asset value through select capital improvements, including projects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designed to increase the eco-efficiency of our hotels, incorporate elements of sustainable design and replace aging equipment and systems with more efficient technology. During 2025, we spent approximately $644 million on capital expenditures, of which $282 million represented return on investment (“ROI”) capital expenditures, $287 million represented renewal and replacement projects and $75 million was for hurricane and other restoration work. This included our restoration efforts at The Don CeSar following Hurricanes Helene and Milton, for which we estimate the total property reconstruction and remediation costs, including resiliency enhancements, was approximately $105 million, of which approximately 30% related to remediation costs. The Don CeSar reopened to guests on March 26, 2025, as part of a phased reopening, with the final amenities reopened during the third quarter of 2025. As of December 31, 2025, we have received total insurance proceeds of $73 million related to our claims, of which $24 million has been recognized as business interruption proceeds. Subsequent to year-end, we received an additional $8 million of insurance proceeds, of which $7 million related to business interruption. Final determination on insurance claims related to The Don CeSar is expected in 2026. In addition to the hurricane restoration at The Don CeSar, in 2025 we also completed a planned 10,000 square foot ballroom expansion at the property and, subsequent to year end, completed the expansion project at The Phoenician, A Luxury Collection Resort, to add a 20-key, eight-villa development at the Canyon Suites.</w:t>
      </w:r>
    </w:p>
    <w:p>
      <w:pPr>
        <w:spacing w:after="0" w:line="194"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Hotels within certain regions are subject to environmental and weather-related events, including hurricanes, wildfires, floods, rising sea levels, mudslides, earthquakes, and other natural perils. To mitigate some of these physical risks, we execute capital expenditure projects, including replacements and restorations of exterior walls, doors and windows, roofs, grounds, relocated/elevated critical equipment and distributed energy systems to further increase the resilience of our hotels. A portion of our capital expenditures for 2025 include these types of projects, which we expect to continue in future years. While the number of projects and overall cost varies from year to year, on average approximately 8% of our capital expenditures have related to these types of projects over the past six years. The enhanced resilience projects implemented during the reconstruction of The Ritz-Carlton, Naples were successful in minimizing damage to the resort during the two hurricanes that made landfall in 2024; however, no assurances can be made as to whether these enhanced resiliency projects will be successful in mitigating the damage from future environmental and weather-related events, especially as the frequency and severity of these events are expected to increase over time.</w:t>
      </w:r>
    </w:p>
    <w:p>
      <w:pPr>
        <w:spacing w:after="0" w:line="18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collaboration with Hyatt, we initiated a transformational capital program in 2023 at six properties in our portfolio. These investments are intended to position the targeted hotels to compete better in their respective markets while seeking to enhance long-term performance. The total investment is expected to be approximately $550 million to $600 million, two-thirds of which we were planning to invest as part of our capital plan over the next few years. We expect to invest between $125 million and $200 million per year on this program. Hyatt has agreed to provide additional priority returns on the agreed upon investments and operating profit guarantees totaling $40 million to offset expected business disruptions. Of the six properties included in the program, we completed the projects at Grand Hyatt Atlanta in Buckhead,</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Hyatt Regency Austin and Hyatt Regency Washington on Capitol Hill in 2025. Approximately 78% of the total estimated costs of the program have been spent as of December 31, 2025 and, in 2026, we expect to substantially complete the remaining three properties, Grand Hyatt Washington, Manchester Grand Hyatt San Diego and Hyatt Regency Reston.</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2025, we also reached an agreement with Marriott International to complete a second transformational capital program at four properties over a four-year period, including The Westin Kierland Resort &amp; Spa, New Orleans Marriott, The Ritz-Carlton Naples, Tiburón and The Ritz-Carlton, Marina del Rey. These portfolio investments are designed to better position the assets to compete in their respective markets and enhance long-term performance. We expect to spend between $300 million and $350 million through 2029. In exchange, Marriott has provided enhanced owner priority returns on the agreed upon investments and operating profit guarantees of approximately $18 million, which is net of reductions for incentive management fees, to offset expected business disruption.</w:t>
      </w:r>
    </w:p>
    <w:p>
      <w:pPr>
        <w:spacing w:after="0" w:line="187" w:lineRule="exact"/>
        <w:rPr>
          <w:sz w:val="20"/>
          <w:szCs w:val="20"/>
          <w:color w:val="auto"/>
        </w:rPr>
      </w:pPr>
    </w:p>
    <w:p>
      <w:pPr>
        <w:ind w:right="120" w:firstLine="648"/>
        <w:spacing w:after="0" w:line="312" w:lineRule="auto"/>
        <w:rPr>
          <w:sz w:val="20"/>
          <w:szCs w:val="20"/>
          <w:color w:val="auto"/>
        </w:rPr>
      </w:pPr>
      <w:r>
        <w:rPr>
          <w:rFonts w:ascii="Times New Roman" w:cs="Times New Roman" w:eastAsia="Times New Roman" w:hAnsi="Times New Roman"/>
          <w:sz w:val="17"/>
          <w:szCs w:val="17"/>
          <w:color w:val="auto"/>
        </w:rPr>
        <w:t>During 2025, we spent approximately $191 million on these two programs, which is included in ROI capital projects. We received approximately $26 million of operating profit guarantees in 2025 from the Hyatt and Marriott programs and expect to receive approximately $19 million in 2026.</w:t>
      </w:r>
    </w:p>
    <w:p>
      <w:pPr>
        <w:spacing w:after="0" w:line="14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For 2026, we expect total capital expenditures of $525 million to $625 million, consisting of ROI projects of approximately $250 million to $300 million, renewal and replacement expenditures of $275 million to $325 million. The ROI projects include approximately $175 million to $210 million for the Hyatt and Marriott transformational capital programs. We also plan to commence a comprehensive renovation at The Westin South Coast Plaza consisting of rooms, meeting space and lobby updates.</w:t>
      </w:r>
    </w:p>
    <w:p>
      <w:pPr>
        <w:spacing w:after="0" w:line="180"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Construction continued on the development of 40 fee-simple condominiums on a five-acre development parcel to be Four Seasons-branded and managed residences adjacent to the Four Seasons Resort Orlando at Walt Disney World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Resort. Construction of the mid-rise building was completed in 2025, with condominium closings commencing in the fourth quarter, and the villas are expected to be completed in the first half of 2026. In 2025, we spent $88 million in development costs for this project and expect development costs of approximately $15 million in 2026 to complete the project. In 2025, we recognized $99 million of revenues from the sale of 16 condominium units.</w:t>
      </w:r>
    </w:p>
    <w:p>
      <w:pPr>
        <w:spacing w:after="0" w:line="19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Financing transactions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May 20, 2025, we issued $500 million of 5.7% Series M senior notes for proceeds of approximately $490 million,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de minimis original issue discount, underwriting fees and other expenses. The net proceeds were used to redeem all $500 million of Series E senior notes due in June 2025.</w:t>
      </w:r>
    </w:p>
    <w:p>
      <w:pPr>
        <w:spacing w:after="0" w:line="17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On November 26, 2025, we issued $400 million of 4.25% Series N senior notes for proceeds of approximately $395 million, net of de minimis original issue discount, underwriting fees and other expenses. The net proceeds were used to redeem all $400 million of Series F senior notes due in February 2026.</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ability to maintain an investment grade balance sheet and well-laddered maturity schedule is an important factor in our investment strategy. As of December 31, 2025, we have a debt balance of $5.1 billion, our weighted average interest rate is 4.8%, and our weighted average debt maturity is 5.1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detailed discussion, see “—Liquidity and Capital Resources.” For a detailed discussion of our significant debt activities, see Part II Item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and Supplementary Data – Note 5. Debt” in the Notes to Consolidated Financial Statements.</w:t>
      </w:r>
    </w:p>
    <w:p>
      <w:pPr>
        <w:spacing w:after="0" w:line="203"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 Repurchase and Dividends. </w:t>
      </w:r>
      <w:r>
        <w:rPr>
          <w:rFonts w:ascii="Times New Roman" w:cs="Times New Roman" w:eastAsia="Times New Roman" w:hAnsi="Times New Roman"/>
          <w:sz w:val="18"/>
          <w:szCs w:val="18"/>
          <w:color w:val="auto"/>
        </w:rPr>
        <w:t>In 2025, we repurchased 13.1 million shares at an average price of $15.68 per share, exclusive of commissions,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 total of $205 million, under our share repurchase program. As of December 31, 2025, we have $480 million available for repurchase under the program.</w:t>
      </w:r>
    </w:p>
    <w:p>
      <w:pPr>
        <w:spacing w:after="0" w:line="17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During 2025, Host Inc.'s Board of Directors declared dividends totaling $0.95 per share on its common stock, including a fourth quarter special dividend of $0.15 per share. Accordingly, Host L.P. made distributions of $0.9704193 per unit with respect to its common OP units for 2025. On February 18, 2026, we announced a regular quarterly cash dividend of $0.20 per share on our common stock. The dividend will be paid on April 15, 2026 to stockholders of record on March 31, 2026. The amount of any future dividends will be based on our policy of distributing, over time, 100% of our taxable income and will be determined by Host Inc.’s Board of Directors.</w:t>
      </w:r>
    </w:p>
    <w:p>
      <w:pPr>
        <w:spacing w:after="0" w:line="18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assurances that any future dividends will match or exceed those set forth above for any number of reasons, including a decline in operations or an increase in liquidity needs. We believe that we have sufficient liquidity and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access to the capital markets in order to fund our capital expenditures programs and to take advantage of investment opportunities.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reflects certain line items from our audited consolidated statements of operations for the two years ended December 31, 2025 (in millions, except percentages):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686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5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63"/>
        </w:trPr>
        <w:tc>
          <w:tcPr>
            <w:tcW w:w="6860" w:type="dxa"/>
            <w:vAlign w:val="bottom"/>
            <w:shd w:val="clear" w:color="auto" w:fill="CFF0FC"/>
          </w:tcPr>
          <w:p>
            <w:pPr>
              <w:ind w:left="180"/>
              <w:spacing w:after="0" w:line="263" w:lineRule="exact"/>
              <w:rPr>
                <w:sz w:val="20"/>
                <w:szCs w:val="20"/>
                <w:color w:val="auto"/>
              </w:rPr>
            </w:pPr>
            <w:r>
              <w:rPr>
                <w:rFonts w:ascii="Times New Roman" w:cs="Times New Roman" w:eastAsia="Times New Roman" w:hAnsi="Times New Roman"/>
                <w:sz w:val="18"/>
                <w:szCs w:val="18"/>
                <w:color w:val="auto"/>
              </w:rPr>
              <w:t xml:space="preserve">Property-level costs </w:t>
            </w:r>
            <w:r>
              <w:rPr>
                <w:rFonts w:ascii="MS PGothic" w:cs="MS PGothic" w:eastAsia="MS PGothic" w:hAnsi="MS PGothic"/>
                <w:sz w:val="23"/>
                <w:szCs w:val="23"/>
                <w:color w:val="auto"/>
                <w:vertAlign w:val="superscript"/>
              </w:rPr>
              <w:t>⁽</w:t>
            </w:r>
            <w:r>
              <w:rPr>
                <w:rFonts w:ascii="Times New Roman" w:cs="Times New Roman" w:eastAsia="Times New Roman" w:hAnsi="Times New Roman"/>
                <w:sz w:val="23"/>
                <w:szCs w:val="23"/>
                <w:color w:val="auto"/>
                <w:vertAlign w:val="superscript"/>
              </w:rPr>
              <w:t>¹</w:t>
            </w:r>
            <w:r>
              <w:rPr>
                <w:rFonts w:ascii="MS PGothic" w:cs="MS PGothic" w:eastAsia="MS PGothic" w:hAnsi="MS PGothic"/>
                <w:sz w:val="23"/>
                <w:szCs w:val="23"/>
                <w:color w:val="auto"/>
                <w:vertAlign w:val="superscript"/>
              </w:rPr>
              <w:t>⁾</w:t>
            </w:r>
          </w:p>
        </w:tc>
        <w:tc>
          <w:tcPr>
            <w:tcW w:w="84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0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57"/>
        </w:trPr>
        <w:tc>
          <w:tcPr>
            <w:tcW w:w="68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Cost of goods sold </w:t>
            </w:r>
            <w:r>
              <w:rPr>
                <w:rFonts w:ascii="MS PGothic" w:cs="MS PGothic" w:eastAsia="MS PGothic" w:hAnsi="MS PGothic"/>
                <w:sz w:val="23"/>
                <w:szCs w:val="23"/>
                <w:color w:val="auto"/>
                <w:vertAlign w:val="superscript"/>
              </w:rPr>
              <w:t>⁽</w:t>
            </w:r>
            <w:r>
              <w:rPr>
                <w:rFonts w:ascii="Times New Roman" w:cs="Times New Roman" w:eastAsia="Times New Roman" w:hAnsi="Times New Roman"/>
                <w:sz w:val="23"/>
                <w:szCs w:val="23"/>
                <w:color w:val="auto"/>
                <w:vertAlign w:val="superscript"/>
              </w:rPr>
              <w:t>²</w:t>
            </w:r>
            <w:r>
              <w:rPr>
                <w:rFonts w:ascii="MS PGothic" w:cs="MS PGothic" w:eastAsia="MS PGothic" w:hAnsi="MS PGothic"/>
                <w:sz w:val="23"/>
                <w:szCs w:val="23"/>
                <w:color w:val="auto"/>
                <w:vertAlign w:val="superscript"/>
              </w:rPr>
              <w:t>⁾</w:t>
            </w:r>
          </w:p>
        </w:tc>
        <w:tc>
          <w:tcPr>
            <w:tcW w:w="8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84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5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 on insurance settlements</w:t>
            </w:r>
          </w:p>
        </w:tc>
        <w:tc>
          <w:tcPr>
            <w:tcW w:w="8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63"/>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84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63"/>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gains</w:t>
            </w:r>
          </w:p>
        </w:tc>
        <w:tc>
          <w:tcPr>
            <w:tcW w:w="84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5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200.0 %</w:t>
            </w:r>
          </w:p>
        </w:tc>
      </w:tr>
      <w:tr>
        <w:trPr>
          <w:trHeight w:val="277"/>
        </w:trPr>
        <w:tc>
          <w:tcPr>
            <w:tcW w:w="686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500" w:type="dxa"/>
            <w:vAlign w:val="bottom"/>
            <w:shd w:val="clear" w:color="auto" w:fill="CFF0FC"/>
          </w:tcPr>
          <w:p>
            <w:pPr>
              <w:spacing w:after="0"/>
              <w:rPr>
                <w:sz w:val="24"/>
                <w:szCs w:val="24"/>
                <w:color w:val="auto"/>
              </w:rPr>
            </w:pPr>
          </w:p>
        </w:tc>
      </w:tr>
      <w:tr>
        <w:trPr>
          <w:trHeight w:val="25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Host Inc.:</w:t>
            </w: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63"/>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4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Host Inc.</w:t>
            </w:r>
          </w:p>
        </w:tc>
        <w:tc>
          <w:tcPr>
            <w:tcW w:w="8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77"/>
        </w:trPr>
        <w:tc>
          <w:tcPr>
            <w:tcW w:w="686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500" w:type="dxa"/>
            <w:vAlign w:val="bottom"/>
            <w:shd w:val="clear" w:color="auto" w:fill="CFF0FC"/>
          </w:tcPr>
          <w:p>
            <w:pPr>
              <w:spacing w:after="0"/>
              <w:rPr>
                <w:sz w:val="24"/>
                <w:szCs w:val="24"/>
                <w:color w:val="auto"/>
              </w:rPr>
            </w:pPr>
          </w:p>
        </w:tc>
      </w:tr>
      <w:tr>
        <w:trPr>
          <w:trHeight w:val="25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Host L.P.:</w:t>
            </w: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63"/>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4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Host L.P.</w:t>
            </w:r>
          </w:p>
        </w:tc>
        <w:tc>
          <w:tcPr>
            <w:tcW w:w="8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31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___________</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ind w:left="260" w:right="100" w:hanging="252"/>
        <w:spacing w:after="0" w:line="249" w:lineRule="auto"/>
        <w:tabs>
          <w:tab w:leader="none" w:pos="25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total operating costs and expenses from our audited consolidated statements of operations, less cost of goods sold, corporate and other expenses and net gain on insurance settlements.</w:t>
      </w:r>
    </w:p>
    <w:p>
      <w:pPr>
        <w:ind w:left="240" w:hanging="232"/>
        <w:spacing w:after="0"/>
        <w:tabs>
          <w:tab w:leader="none" w:pos="2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costs related to the development and sale of condominium units adjacent to the Four Seasons Resort Orlando at Walt Disney World</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Resort.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Operations Results and Trends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Operations improved in 2025 compared to 2024, reflecting (i) an increase in room rates driven by strong transient demand and continued strength in out-of-room spend; (ii) the continuing recovery on Maui; (iii) a full year of operations for our 2024 acquisitions, including 1 Hotel Nashville and Embassy Suites by Hilton Nashville Downtown acquired in April 2024, 1 Hotel Central Park acquired in July 2024, and The Ritz-Carlton O'ahu, Turtle Bay acquired in July 2024 (collectively, the "2024 Acquisitions"); and (iv) $17 million of net income recognized during 2025 from the sale of 16 condominium units in the development adjacent to the Four Seasons Resort Orlando at Walt Disney® Resort. These improvements more than offset the negative impact on operations resulting from our 2025 dispositions of The Westin Cincinnati and Washington Marriott Metro Center (collectively, the "2025 Dispositions") and the closure of The Don CeSar from September 2024 to March 2025 due to Hurricanes Helene and Milton.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revenues in accordance with GAAP and includes all consolidated hotels for the two years ended December 31, 2025 (in millions, except percentages):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6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Rooms</w:t>
            </w: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5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Food and beverage</w:t>
            </w:r>
          </w:p>
        </w:tc>
        <w:tc>
          <w:tcPr>
            <w:tcW w:w="8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63"/>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Condominium sales</w:t>
            </w:r>
          </w:p>
        </w:tc>
        <w:tc>
          <w:tcPr>
            <w:tcW w:w="8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82"/>
        </w:trPr>
        <w:tc>
          <w:tcPr>
            <w:tcW w:w="68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840" w:type="dxa"/>
            <w:vAlign w:val="bottom"/>
            <w:tcBorders>
              <w:bottom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68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Rooms</w:t>
      </w:r>
      <w:r>
        <w:rPr>
          <w:rFonts w:ascii="Times New Roman" w:cs="Times New Roman" w:eastAsia="Times New Roman" w:hAnsi="Times New Roman"/>
          <w:sz w:val="18"/>
          <w:szCs w:val="18"/>
          <w:color w:val="auto"/>
        </w:rPr>
        <w:t>. Total rooms revenues increased $182 million, or 5.3%, in 2025, reflecting a full year of operations for the 2024 Acquisitions and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rooms revenue at our comparable hotels of $120 million, or 3.5%, primarily due to an increase in average room rate of 4.4% driven by transient demand.</w:t>
      </w:r>
    </w:p>
    <w:p>
      <w:pPr>
        <w:spacing w:after="0" w:line="173" w:lineRule="exact"/>
        <w:rPr>
          <w:sz w:val="20"/>
          <w:szCs w:val="20"/>
          <w:color w:val="auto"/>
        </w:rPr>
      </w:pPr>
    </w:p>
    <w:p>
      <w:pPr>
        <w:jc w:val="both"/>
        <w:ind w:right="280"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Food and beverage</w:t>
      </w:r>
      <w:r>
        <w:rPr>
          <w:rFonts w:ascii="Times New Roman" w:cs="Times New Roman" w:eastAsia="Times New Roman" w:hAnsi="Times New Roman"/>
          <w:sz w:val="17"/>
          <w:szCs w:val="17"/>
          <w:color w:val="auto"/>
        </w:rPr>
        <w:t>. Total food and beverage ("F&amp;B") revenues increased $87 million, or 5.1%, in 2025, due to a full year of operations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2024 Acquisitions and an increase in F&amp;B revenues at our comparable hotels of $59 million, or 3.5%, driven by strong outlet revenues from our resorts, specifically our Maui resorts as the recovery continues, as well as the completion of ROI projects at several restaurant locations in other markets.</w:t>
      </w:r>
    </w:p>
    <w:p>
      <w:pPr>
        <w:spacing w:after="0" w:line="155" w:lineRule="exact"/>
        <w:rPr>
          <w:sz w:val="20"/>
          <w:szCs w:val="20"/>
          <w:color w:val="auto"/>
        </w:rPr>
      </w:pPr>
    </w:p>
    <w:p>
      <w:pPr>
        <w:jc w:val="both"/>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Other revenues</w:t>
      </w:r>
      <w:r>
        <w:rPr>
          <w:rFonts w:ascii="Times New Roman" w:cs="Times New Roman" w:eastAsia="Times New Roman" w:hAnsi="Times New Roman"/>
          <w:sz w:val="18"/>
          <w:szCs w:val="18"/>
          <w:color w:val="auto"/>
        </w:rPr>
        <w:t>. Total other revenues increased $62 million, or 11.4%, in 2025, driven by a full year of results from the 2024 Acquisitions and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other revenues at our comparable hotels of $40 million, or 7.3%, primarily due to an increase in spa, golf and other ancillary revenues, boosted by the continued recovery on Maui.</w:t>
      </w:r>
    </w:p>
    <w:p>
      <w:pPr>
        <w:spacing w:after="0" w:line="173"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Condominium sales. </w:t>
      </w:r>
      <w:r>
        <w:rPr>
          <w:rFonts w:ascii="Times New Roman" w:cs="Times New Roman" w:eastAsia="Times New Roman" w:hAnsi="Times New Roman"/>
          <w:sz w:val="18"/>
          <w:szCs w:val="18"/>
          <w:color w:val="auto"/>
        </w:rPr>
        <w:t>During 2025, $99 million of revenues were recognized from the sale of 16 condominium units in the development adjacent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Four Seasons Resort Orlando at Walt Disney® Resort.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Property-level Operating Expenses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consolidated property-level operating expenses in accordance with GAAP and includes all consolidated hotels for the two years ended December 31, 2025 (in millions, except percentages):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6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Rooms</w:t>
            </w: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5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Food and beverage</w:t>
            </w:r>
          </w:p>
        </w:tc>
        <w:tc>
          <w:tcPr>
            <w:tcW w:w="8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63"/>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departmental and support expenses</w:t>
            </w:r>
          </w:p>
        </w:tc>
        <w:tc>
          <w:tcPr>
            <w:tcW w:w="84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fees</w:t>
            </w:r>
          </w:p>
        </w:tc>
        <w:tc>
          <w:tcPr>
            <w:tcW w:w="8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63"/>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property-level expenses</w:t>
            </w:r>
          </w:p>
        </w:tc>
        <w:tc>
          <w:tcPr>
            <w:tcW w:w="84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60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82"/>
        </w:trPr>
        <w:tc>
          <w:tcPr>
            <w:tcW w:w="68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property-level operating expenses</w:t>
            </w:r>
          </w:p>
        </w:tc>
        <w:tc>
          <w:tcPr>
            <w:tcW w:w="840" w:type="dxa"/>
            <w:vAlign w:val="bottom"/>
            <w:tcBorders>
              <w:bottom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68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operating costs and expenses, which consist of both fixed and variable components, are affected by several factors. Rooms expenses are affected mainly by occupancy, which drives costs related to items such as housekeeping, reservation systems, room supplies, laundry services and front desk costs. Food and beverage expenses correlate closely with food and beverage revenues and are affected by occupancy and the mix of business between banquet, audio-visual and outlet sales. However, the most significant expense for the rooms, food and beverage, and other departmental and support expenses is wages and employee benefits, which comprise approximately 58% of these expenses in any given year. During 2025, these expenses increased approximately 5% on a per available room basis compared to 2024, primarily due to an overall increase in general wage rates and benefits. Wage and benefit rate inflation is expected to be approximately 5% in 2026.</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Other property-level expenses consist of property taxes, the amounts and structure of which are highly dependent on local jurisdiction taxing authorities, and property and general liability insurance, all of which do not necessarily increase or decrease based on similar changes in revenues at our hotels.</w:t>
      </w:r>
    </w:p>
    <w:p>
      <w:pPr>
        <w:spacing w:after="0" w:line="17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increases in expenses for rooms, food and beverage, other departmental and support, and management fees were generally due to the corresponding increases in revenues due to a full year of operations from the 2024 Acquisitions, and also reflected increased expenses at our comparable hotels primarily due to increased wages and benefits, as follows:</w:t>
      </w:r>
    </w:p>
    <w:p>
      <w:pPr>
        <w:spacing w:after="0" w:line="174"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Rooms</w:t>
      </w:r>
      <w:r>
        <w:rPr>
          <w:rFonts w:ascii="Times New Roman" w:cs="Times New Roman" w:eastAsia="Times New Roman" w:hAnsi="Times New Roman"/>
          <w:sz w:val="18"/>
          <w:szCs w:val="18"/>
          <w:color w:val="auto"/>
        </w:rPr>
        <w:t>. Rooms expenses increased $57 million, or 6.7%, in 2025. Our comparable hotels rooms expenses increased $40 million, or 4.7%, in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an overall increase in wage rates. Wages and benefits represented approximately 67% of our 2025 and 2024 rooms expenses.</w:t>
      </w:r>
    </w:p>
    <w:p>
      <w:pPr>
        <w:spacing w:after="0" w:line="15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Food and beverage. </w:t>
      </w:r>
      <w:r>
        <w:rPr>
          <w:rFonts w:ascii="Times New Roman" w:cs="Times New Roman" w:eastAsia="Times New Roman" w:hAnsi="Times New Roman"/>
          <w:sz w:val="18"/>
          <w:szCs w:val="18"/>
          <w:color w:val="auto"/>
        </w:rPr>
        <w:t>F&amp;B expenses increased $87 million, or 7.7%, in 2025. For our comparable hotels, F&amp;B expenses increased $60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5.3%, in 2025. Overall, F&amp;B costs as a percentage of revenues increased year over year, reflecting higher wages and a shift to more outlet sales, which generally have a higher cost as a percentage of revenue as compared to banquet sales. Wages and benefits represented approximately 69% of our 2025 and 2024 F&amp;B expenses.</w:t>
      </w:r>
    </w:p>
    <w:p>
      <w:pPr>
        <w:spacing w:after="0" w:line="180" w:lineRule="exact"/>
        <w:rPr>
          <w:sz w:val="20"/>
          <w:szCs w:val="20"/>
          <w:color w:val="auto"/>
        </w:rPr>
      </w:pPr>
    </w:p>
    <w:p>
      <w:pPr>
        <w:jc w:val="both"/>
        <w:ind w:right="2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Other departmental and support expenses</w:t>
      </w:r>
      <w:r>
        <w:rPr>
          <w:rFonts w:ascii="Times New Roman" w:cs="Times New Roman" w:eastAsia="Times New Roman" w:hAnsi="Times New Roman"/>
          <w:sz w:val="18"/>
          <w:szCs w:val="18"/>
          <w:color w:val="auto"/>
        </w:rPr>
        <w:t>. Other departmental and support expenses increased $83 million, or 6.0%, in 2025. On a comparable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hotel basis, other departmental and support expenses increased $46 million, or 3.3%. These increases were primarily due to higher wage expense. Wages and benefits represented approximately 42% of our 2025 and 2024 other departmental and support expenses.</w:t>
      </w:r>
    </w:p>
    <w:p>
      <w:pPr>
        <w:spacing w:after="0" w:line="17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Management fees</w:t>
      </w:r>
      <w:r>
        <w:rPr>
          <w:rFonts w:ascii="Times New Roman" w:cs="Times New Roman" w:eastAsia="Times New Roman" w:hAnsi="Times New Roman"/>
          <w:sz w:val="18"/>
          <w:szCs w:val="18"/>
          <w:color w:val="auto"/>
        </w:rPr>
        <w:t>. Total management fees increased $8 million, or 3.1%, in 2025. Base management fees, which generally are calculated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total hotel revenues, increased $6 million, or 3.8%, compared to 2024. At our comparable hotels, base management fees increased $4 million, or 2.5%, for 2025. Incentive management fees, which generally are based on the amount of operating profit at each hotel after we receive a priority return on our investment, increased $2 million, primarily due to the increase in incentive management fees at our comparable hotels of $2 million, or 2.4%, which was due to the improved operations at our properties.</w:t>
      </w:r>
    </w:p>
    <w:p>
      <w:pPr>
        <w:spacing w:after="0" w:line="18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Other property-level expenses</w:t>
      </w:r>
      <w:r>
        <w:rPr>
          <w:rFonts w:ascii="Times New Roman" w:cs="Times New Roman" w:eastAsia="Times New Roman" w:hAnsi="Times New Roman"/>
          <w:sz w:val="18"/>
          <w:szCs w:val="18"/>
          <w:color w:val="auto"/>
        </w:rPr>
        <w:t>. These expenses generally do not vary significantly based on occupancy and include expenses such as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and insurance. Other property-level expenses increased $15 million, or 3.6%, in 2025, primarily due to increases in property taxes and insurance due to the 2024 Acquisitions. Other property-level expenses at our comparable hotels increased $6 million, or 1.6%, in 2025. Other property-level expenses were partially offset by the receipt of operating profit guarantees from Marriott and Hyatt under the transformational capital programs in both 2025 and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227" w:lineRule="exact"/>
        <w:rPr>
          <w:sz w:val="20"/>
          <w:szCs w:val="20"/>
          <w:color w:val="auto"/>
        </w:rPr>
      </w:pPr>
    </w:p>
    <w:p>
      <w:pPr>
        <w:jc w:val="both"/>
        <w:ind w:right="2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totaled $80 million for the year ended December 31, 2025, which related to the sale of 16 condominium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adjacent to the Four Seasons Resort Orlando at Walt Disney® Resort. Cost of goods sold for these condominiums consists primarily of capitalized construction and development costs, which are recognized upon the sale of individual units.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Corporate and other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and other expenses include the following items (in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38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6"/>
                <w:szCs w:val="16"/>
                <w:color w:val="auto"/>
              </w:rPr>
            </w:pPr>
          </w:p>
        </w:tc>
      </w:tr>
      <w:tr>
        <w:trPr>
          <w:trHeight w:val="23"/>
        </w:trPr>
        <w:tc>
          <w:tcPr>
            <w:tcW w:w="84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6"/>
        </w:trPr>
        <w:tc>
          <w:tcPr>
            <w:tcW w:w="842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r>
      <w:tr>
        <w:trPr>
          <w:trHeight w:val="23"/>
        </w:trPr>
        <w:tc>
          <w:tcPr>
            <w:tcW w:w="842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0"/>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costs</w:t>
            </w: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5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57"/>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Litigation accruals</w:t>
            </w:r>
          </w:p>
        </w:tc>
        <w:tc>
          <w:tcPr>
            <w:tcW w:w="920" w:type="dxa"/>
            <w:vAlign w:val="bottom"/>
            <w:shd w:val="clear" w:color="auto" w:fill="CFF0FC"/>
          </w:tcPr>
          <w:p>
            <w:pPr>
              <w:spacing w:after="0"/>
              <w:rPr>
                <w:sz w:val="22"/>
                <w:szCs w:val="22"/>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6"/>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
        </w:trPr>
        <w:tc>
          <w:tcPr>
            <w:tcW w:w="8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costs primarily consist of wages and benefits, travel, corporate insurance, legal fees, audit fees, building rent and systems costs. Corporate and other expenses increased for the year ended December 31, 2025, due primarily to an increase in compensation expense, partially offset by a decrease in litigation accruals.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gain on insurance settlements. </w:t>
      </w:r>
      <w:r>
        <w:rPr>
          <w:rFonts w:ascii="Times New Roman" w:cs="Times New Roman" w:eastAsia="Times New Roman" w:hAnsi="Times New Roman"/>
          <w:sz w:val="18"/>
          <w:szCs w:val="18"/>
          <w:color w:val="auto"/>
        </w:rPr>
        <w:t>The following table details our gain on insurance settlements for property damage and business interruption,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of property damage and remediation losses, related to Hurricanes Ian, Helene and Milton, the 2023 Maui wildfires and other weather events; the only insurance claims currently outstanding related to these matters is from Hurricanes Helene and Milton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38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6"/>
                <w:szCs w:val="16"/>
                <w:color w:val="auto"/>
              </w:rPr>
            </w:pPr>
          </w:p>
        </w:tc>
      </w:tr>
      <w:tr>
        <w:trPr>
          <w:trHeight w:val="23"/>
        </w:trPr>
        <w:tc>
          <w:tcPr>
            <w:tcW w:w="84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6"/>
        </w:trPr>
        <w:tc>
          <w:tcPr>
            <w:tcW w:w="842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r>
      <w:tr>
        <w:trPr>
          <w:trHeight w:val="23"/>
        </w:trPr>
        <w:tc>
          <w:tcPr>
            <w:tcW w:w="842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damage</w:t>
            </w:r>
          </w:p>
        </w:tc>
        <w:tc>
          <w:tcPr>
            <w:tcW w:w="9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r>
      <w:tr>
        <w:trPr>
          <w:trHeight w:val="250"/>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Hurricanes Helene/Milton</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3"/>
        </w:trPr>
        <w:tc>
          <w:tcPr>
            <w:tcW w:w="8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Hurricane Ian</w:t>
            </w:r>
          </w:p>
        </w:tc>
        <w:tc>
          <w:tcPr>
            <w:tcW w:w="960" w:type="dxa"/>
            <w:vAlign w:val="bottom"/>
            <w:shd w:val="clear" w:color="auto" w:fill="CFF0FC"/>
          </w:tcPr>
          <w:p>
            <w:pPr>
              <w:spacing w:after="0"/>
              <w:rPr>
                <w:sz w:val="22"/>
                <w:szCs w:val="22"/>
                <w:color w:val="auto"/>
              </w:rPr>
            </w:pPr>
          </w:p>
        </w:tc>
        <w:tc>
          <w:tcPr>
            <w:tcW w:w="5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0"/>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21"/>
                <w:szCs w:val="21"/>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Business interruption</w:t>
            </w:r>
          </w:p>
        </w:tc>
        <w:tc>
          <w:tcPr>
            <w:tcW w:w="9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r>
      <w:tr>
        <w:trPr>
          <w:trHeight w:val="250"/>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Hurricanes Helene/Milton</w:t>
            </w:r>
          </w:p>
        </w:tc>
        <w:tc>
          <w:tcPr>
            <w:tcW w:w="960" w:type="dxa"/>
            <w:vAlign w:val="bottom"/>
          </w:tcPr>
          <w:p>
            <w:pPr>
              <w:spacing w:after="0"/>
              <w:rPr>
                <w:sz w:val="21"/>
                <w:szCs w:val="21"/>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Hurricane Ian</w:t>
            </w:r>
          </w:p>
        </w:tc>
        <w:tc>
          <w:tcPr>
            <w:tcW w:w="960" w:type="dxa"/>
            <w:vAlign w:val="bottom"/>
            <w:shd w:val="clear" w:color="auto" w:fill="CFF0FC"/>
          </w:tcPr>
          <w:p>
            <w:pPr>
              <w:spacing w:after="0"/>
              <w:rPr>
                <w:sz w:val="22"/>
                <w:szCs w:val="22"/>
                <w:color w:val="auto"/>
              </w:rPr>
            </w:pPr>
          </w:p>
        </w:tc>
        <w:tc>
          <w:tcPr>
            <w:tcW w:w="5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0"/>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Maui wildfires</w:t>
            </w:r>
          </w:p>
        </w:tc>
        <w:tc>
          <w:tcPr>
            <w:tcW w:w="960" w:type="dxa"/>
            <w:vAlign w:val="bottom"/>
          </w:tcPr>
          <w:p>
            <w:pPr>
              <w:spacing w:after="0"/>
              <w:rPr>
                <w:sz w:val="21"/>
                <w:szCs w:val="21"/>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82"/>
        </w:trPr>
        <w:tc>
          <w:tcPr>
            <w:tcW w:w="8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gain on insurance settlements</w:t>
            </w: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920" w:type="dxa"/>
            <w:vAlign w:val="bottom"/>
            <w:tcBorders>
              <w:top w:val="single" w:sz="8" w:color="auto"/>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84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$20 million, or 9.3%, in 2025 as compared to 2024, primarily due to higher outstanding debt balances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2025, as we issued $1.3 billion of senior note debt in 2024 to partially fund our 2024 Acquisitions and refinance $400 million of senior notes. We also refinanced $900 million of senior note debt in 2025 at slightly higher interest rates, on average. The following table presents certain components of interest expense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38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6"/>
                <w:szCs w:val="16"/>
                <w:color w:val="auto"/>
              </w:rPr>
            </w:pPr>
          </w:p>
        </w:tc>
      </w:tr>
      <w:tr>
        <w:trPr>
          <w:trHeight w:val="23"/>
        </w:trPr>
        <w:tc>
          <w:tcPr>
            <w:tcW w:w="84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6"/>
        </w:trPr>
        <w:tc>
          <w:tcPr>
            <w:tcW w:w="842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r>
      <w:tr>
        <w:trPr>
          <w:trHeight w:val="23"/>
        </w:trPr>
        <w:tc>
          <w:tcPr>
            <w:tcW w:w="842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0"/>
        </w:trPr>
        <w:tc>
          <w:tcPr>
            <w:tcW w:w="8420" w:type="dxa"/>
            <w:vAlign w:val="bottom"/>
            <w:shd w:val="clear" w:color="auto" w:fill="CFF0FC"/>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Cash interest expense </w:t>
            </w:r>
            <w:r>
              <w:rPr>
                <w:rFonts w:ascii="MS PGothic" w:cs="MS PGothic" w:eastAsia="MS PGothic" w:hAnsi="MS PGothic"/>
                <w:sz w:val="23"/>
                <w:szCs w:val="23"/>
                <w:color w:val="auto"/>
                <w:vertAlign w:val="superscript"/>
              </w:rPr>
              <w:t>⁽</w:t>
            </w:r>
            <w:r>
              <w:rPr>
                <w:rFonts w:ascii="Times New Roman" w:cs="Times New Roman" w:eastAsia="Times New Roman" w:hAnsi="Times New Roman"/>
                <w:sz w:val="23"/>
                <w:szCs w:val="23"/>
                <w:color w:val="auto"/>
                <w:vertAlign w:val="superscript"/>
              </w:rPr>
              <w:t>¹</w:t>
            </w:r>
            <w:r>
              <w:rPr>
                <w:rFonts w:ascii="MS PGothic" w:cs="MS PGothic" w:eastAsia="MS PGothic" w:hAnsi="MS PGothic"/>
                <w:sz w:val="23"/>
                <w:szCs w:val="23"/>
                <w:color w:val="auto"/>
                <w:vertAlign w:val="superscript"/>
              </w:rPr>
              <w:t>⁾</w:t>
            </w: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50"/>
        </w:trPr>
        <w:tc>
          <w:tcPr>
            <w:tcW w:w="84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82"/>
        </w:trPr>
        <w:tc>
          <w:tcPr>
            <w:tcW w:w="8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0"/>
        </w:trPr>
        <w:tc>
          <w:tcPr>
            <w:tcW w:w="84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27" w:lineRule="exact"/>
        <w:rPr>
          <w:sz w:val="20"/>
          <w:szCs w:val="20"/>
          <w:color w:val="auto"/>
        </w:rPr>
      </w:pPr>
    </w:p>
    <w:p>
      <w:pPr>
        <w:ind w:left="660" w:right="120" w:hanging="652"/>
        <w:spacing w:after="0" w:line="283" w:lineRule="auto"/>
        <w:tabs>
          <w:tab w:leader="none" w:pos="6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cash interest expense paid was $241 million and $172 million in 2025 and 2024, respectively, which includes an increase (decrease) due to the change in accrued interest of $17 million and $(33) million for 2025 and 2024, respectively.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Other gains. </w:t>
      </w:r>
      <w:r>
        <w:rPr>
          <w:rFonts w:ascii="Times New Roman" w:cs="Times New Roman" w:eastAsia="Times New Roman" w:hAnsi="Times New Roman"/>
          <w:sz w:val="18"/>
          <w:szCs w:val="18"/>
          <w:color w:val="auto"/>
        </w:rPr>
        <w:t>The following table presents the gains recognized on the sale of assets and other (in millions):</w:t>
      </w:r>
    </w:p>
    <w:p>
      <w:pPr>
        <w:spacing w:after="0" w:line="261"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33655</wp:posOffset>
            </wp:positionV>
            <wp:extent cx="17913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2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9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Washington Marriott at Metro Center</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9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Westin Cincinnati</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93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20" w:type="dxa"/>
            <w:vAlign w:val="bottom"/>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r>
    </w:tbl>
    <w:p>
      <w:pPr>
        <w:spacing w:after="0" w:line="277"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Equity in earnings of affiliates</w:t>
      </w:r>
      <w:r>
        <w:rPr>
          <w:rFonts w:ascii="Times New Roman" w:cs="Times New Roman" w:eastAsia="Times New Roman" w:hAnsi="Times New Roman"/>
          <w:sz w:val="18"/>
          <w:szCs w:val="18"/>
          <w:color w:val="auto"/>
        </w:rPr>
        <w:t>. Equity in earnings of affiliates increased $11 million, or 157.1%, in 2025, reflecting increased earnings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Noble Fund V, and realized and unrealized gains on investments with Fifth Wall Ventures and Thayer Ventures.</w:t>
      </w:r>
    </w:p>
    <w:p>
      <w:pPr>
        <w:spacing w:after="0" w:line="15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We lease substantially all our properties to consolidated subsidiaries designated as TRS for U.S. federal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Taxable income or loss generated/incurred by the TRS primarily represents hotel-level operations and the aggregate rent paid to Host L.P. by the TRS, on which we record an income tax provision or benefit. In 2025 and 2024, we recorded an income tax provision of $42 million and $14 million, respectively, primarily due to the profitability of hotel operations retained by the TRS, including $24 million and $40 million of business interruption insurance gains recorded in 2025 and 2024, respectively. The 2024 tax provision was partially offset by the recognition of a $7 million income tax benefit due to federal income tax credits resulting from the installation of a co-generation plant at one of our properties. As a result of legislation enacted by the CARES Act in 2020, a portion of the 2020 domestic net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loss was carried back to 2017-2019 in order to procure a refund of U.S. federal corporate income taxes previously paid. The remaining portion of the 2020 net operating loss, as well as the entire 2021 net operating loss incurred by our TRS, may be carried forward indefinitely to reduce our income taxes paid, subject to an annual limit on the use thereof equal to 80% of annual taxable income. See also Part II Item 8. “Financial Statements and Supplementary Data – Note 7. Income Taxes” for a discussion of our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Hotel RevPAR Overview</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discuss operating results for our hotels on a comparable hotel basis. Comparable hotels are those properties that we consolidate as of the reporting date. Comparable hotels do not include the results of hotels sold or classified as held-for-sale, hotels that have sustained substantial property damage or business interruption, or hotels that have undergone large-scale capital projects, in each case requiring closures lasting one month or longer during the reporting periods being compared. We believe this provides investors with a better understanding of underlying growth trends for our current portfolio, without impact from properties that experienced closures. We have removed The Don CeSar and Alila Ventana Big Sur from our comparable operations for the year ended December 31, 2025 due to closures. See “Comparable Hotel Operating Statistics and Results” below for more information on how we determine our comparable hotels.</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also include, following the comparable hotels results by geographic location, the same operating statistics presentation on an actual basis, which includes results for our portfolio for the time period of our ownership, including the results of non-comparable properties, dispositions through their date of disposal and acquisitions beginning as of the date of acquisition. Lastly, we discuss our hotel results by mix of business (i.e., transient, group, or contract).</w:t>
      </w: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Hotel Operating Data by Location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performance information for our hotels by geographic location as of December 31, 2025 and 2024 on a comparable hotel and actual basis: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Comparable Hotel Results by Location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w w:val="98"/>
              </w:rPr>
              <w:t>As of December 31, 2025</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3"/>
                <w:szCs w:val="13"/>
                <w:color w:val="auto"/>
              </w:rPr>
              <w:t>Year ended December 31, 2025</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3"/>
                <w:szCs w:val="13"/>
                <w:color w:val="auto"/>
              </w:rPr>
              <w:t>Year ended December 31, 2024</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auto"/>
              </w:rPr>
              <w:t>No. of</w:t>
            </w:r>
          </w:p>
        </w:tc>
        <w:tc>
          <w:tcPr>
            <w:tcW w:w="58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No.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Average</w:t>
            </w:r>
          </w:p>
        </w:tc>
        <w:tc>
          <w:tcPr>
            <w:tcW w:w="104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3"/>
                <w:szCs w:val="13"/>
                <w:color w:val="auto"/>
                <w:w w:val="95"/>
              </w:rPr>
              <w:t>Average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spacing w:after="0"/>
              <w:rPr>
                <w:sz w:val="10"/>
                <w:szCs w:val="10"/>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Average</w:t>
            </w:r>
          </w:p>
        </w:tc>
        <w:tc>
          <w:tcPr>
            <w:tcW w:w="10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color w:val="auto"/>
                <w:w w:val="95"/>
              </w:rPr>
              <w:t>Average</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color w:val="auto"/>
                <w:w w:val="97"/>
              </w:rPr>
              <w:t>Percent</w:t>
            </w:r>
          </w:p>
        </w:tc>
        <w:tc>
          <w:tcPr>
            <w:tcW w:w="8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7"/>
              </w:rPr>
              <w:t>Percent</w:t>
            </w:r>
          </w:p>
        </w:tc>
        <w:tc>
          <w:tcPr>
            <w:tcW w:w="0" w:type="dxa"/>
            <w:vAlign w:val="bottom"/>
          </w:tcPr>
          <w:p>
            <w:pPr>
              <w:spacing w:after="0"/>
              <w:rPr>
                <w:sz w:val="1"/>
                <w:szCs w:val="1"/>
                <w:color w:val="auto"/>
              </w:rPr>
            </w:pPr>
          </w:p>
        </w:tc>
      </w:tr>
      <w:tr>
        <w:trPr>
          <w:trHeight w:val="121"/>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color w:val="auto"/>
                <w:w w:val="95"/>
              </w:rPr>
              <w:t>Occupancy</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0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color w:val="auto"/>
                <w:w w:val="95"/>
              </w:rPr>
              <w:t>Occupancy</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9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color w:val="auto"/>
                <w:w w:val="94"/>
              </w:rPr>
              <w:t>Change in</w:t>
            </w:r>
          </w:p>
        </w:tc>
        <w:tc>
          <w:tcPr>
            <w:tcW w:w="8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7"/>
              </w:rPr>
              <w:t>Change in</w:t>
            </w:r>
          </w:p>
        </w:tc>
        <w:tc>
          <w:tcPr>
            <w:tcW w:w="0" w:type="dxa"/>
            <w:vAlign w:val="bottom"/>
          </w:tcPr>
          <w:p>
            <w:pPr>
              <w:spacing w:after="0"/>
              <w:rPr>
                <w:sz w:val="1"/>
                <w:szCs w:val="1"/>
                <w:color w:val="auto"/>
              </w:rPr>
            </w:pPr>
          </w:p>
        </w:tc>
      </w:tr>
      <w:tr>
        <w:trPr>
          <w:trHeight w:val="183"/>
        </w:trPr>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Location</w:t>
            </w:r>
          </w:p>
        </w:tc>
        <w:tc>
          <w:tcPr>
            <w:tcW w:w="10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Properties</w:t>
            </w:r>
          </w:p>
        </w:tc>
        <w:tc>
          <w:tcPr>
            <w:tcW w:w="100" w:type="dxa"/>
            <w:vAlign w:val="bottom"/>
            <w:tcBorders>
              <w:bottom w:val="single" w:sz="8" w:color="CFF0FC"/>
            </w:tcBorders>
          </w:tcPr>
          <w:p>
            <w:pPr>
              <w:spacing w:after="0"/>
              <w:rPr>
                <w:sz w:val="15"/>
                <w:szCs w:val="15"/>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Rooms</w:t>
            </w:r>
          </w:p>
        </w:tc>
        <w:tc>
          <w:tcPr>
            <w:tcW w:w="100" w:type="dxa"/>
            <w:vAlign w:val="bottom"/>
            <w:tcBorders>
              <w:bottom w:val="single" w:sz="8" w:color="CFF0FC"/>
            </w:tcBorders>
          </w:tcPr>
          <w:p>
            <w:pPr>
              <w:spacing w:after="0"/>
              <w:rPr>
                <w:sz w:val="15"/>
                <w:szCs w:val="15"/>
                <w:color w:val="auto"/>
              </w:rPr>
            </w:pPr>
          </w:p>
        </w:tc>
        <w:tc>
          <w:tcPr>
            <w:tcW w:w="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auto"/>
                <w:w w:val="98"/>
              </w:rPr>
              <w:t>Room Rate</w:t>
            </w:r>
          </w:p>
        </w:tc>
        <w:tc>
          <w:tcPr>
            <w:tcW w:w="8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Percentage</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5"/>
              </w:rPr>
              <w:t>RevPAR</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5"/>
              </w:rPr>
              <w:t>RevPAR</w:t>
            </w:r>
          </w:p>
        </w:tc>
        <w:tc>
          <w:tcPr>
            <w:tcW w:w="80" w:type="dxa"/>
            <w:vAlign w:val="bottom"/>
            <w:tcBorders>
              <w:bottom w:val="single" w:sz="8" w:color="CFF0FC"/>
            </w:tcBorders>
          </w:tcPr>
          <w:p>
            <w:pPr>
              <w:spacing w:after="0"/>
              <w:rPr>
                <w:sz w:val="15"/>
                <w:szCs w:val="15"/>
                <w:color w:val="auto"/>
              </w:rPr>
            </w:pPr>
          </w:p>
        </w:tc>
        <w:tc>
          <w:tcPr>
            <w:tcW w:w="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auto"/>
                <w:w w:val="98"/>
              </w:rPr>
              <w:t>Room Rate</w:t>
            </w:r>
          </w:p>
        </w:tc>
        <w:tc>
          <w:tcPr>
            <w:tcW w:w="10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Percentage</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5"/>
              </w:rPr>
              <w:t>RevPAR</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5"/>
              </w:rPr>
              <w:t>RevPAR</w:t>
            </w:r>
          </w:p>
        </w:tc>
        <w:tc>
          <w:tcPr>
            <w:tcW w:w="10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0"/>
              </w:rPr>
              <w:t>RevPAR</w:t>
            </w:r>
          </w:p>
        </w:tc>
        <w:tc>
          <w:tcPr>
            <w:tcW w:w="10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Total RevPAR</w:t>
            </w:r>
          </w:p>
        </w:tc>
        <w:tc>
          <w:tcPr>
            <w:tcW w:w="0" w:type="dxa"/>
            <w:vAlign w:val="bottom"/>
          </w:tcPr>
          <w:p>
            <w:pPr>
              <w:spacing w:after="0"/>
              <w:rPr>
                <w:sz w:val="1"/>
                <w:szCs w:val="1"/>
                <w:color w:val="auto"/>
              </w:rPr>
            </w:pPr>
          </w:p>
        </w:tc>
      </w:tr>
      <w:tr>
        <w:trPr>
          <w:trHeight w:val="203"/>
        </w:trPr>
        <w:tc>
          <w:tcPr>
            <w:tcW w:w="1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Maui</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1,580</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654.62</w:t>
            </w: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71.3%</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467.04</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728.79</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663.09</w:t>
            </w: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398.83</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641.01</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13.7%</w:t>
            </w:r>
          </w:p>
        </w:tc>
        <w:tc>
          <w:tcPr>
            <w:tcW w:w="0" w:type="dxa"/>
            <w:vAlign w:val="bottom"/>
          </w:tcPr>
          <w:p>
            <w:pPr>
              <w:spacing w:after="0"/>
              <w:rPr>
                <w:sz w:val="1"/>
                <w:szCs w:val="1"/>
                <w:color w:val="auto"/>
              </w:rPr>
            </w:pPr>
          </w:p>
        </w:tc>
      </w:tr>
      <w:tr>
        <w:trPr>
          <w:trHeight w:val="203"/>
        </w:trPr>
        <w:tc>
          <w:tcPr>
            <w:tcW w:w="120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Oahu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¹</w:t>
            </w:r>
            <w:r>
              <w:rPr>
                <w:rFonts w:ascii="MS PGothic" w:cs="MS PGothic" w:eastAsia="MS PGothic" w:hAnsi="MS PGothic"/>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489.06</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614.38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457.70</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371.85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576.36</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7"/>
                <w:szCs w:val="17"/>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203"/>
        </w:trPr>
        <w:tc>
          <w:tcPr>
            <w:tcW w:w="1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Miami</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1,038</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549.06</w:t>
            </w: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72.9%</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400.38</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703.89</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526.83</w:t>
            </w: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369.84</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641.42</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1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Jacksonville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541.61</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517.28</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840.68</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81"/>
        </w:trPr>
        <w:tc>
          <w:tcPr>
            <w:tcW w:w="1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New York</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418.18</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87.0%</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363.64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520.10</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392.96</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332.63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463.36</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12.2%</w:t>
            </w:r>
          </w:p>
        </w:tc>
        <w:tc>
          <w:tcPr>
            <w:tcW w:w="0" w:type="dxa"/>
            <w:vAlign w:val="bottom"/>
          </w:tcPr>
          <w:p>
            <w:pPr>
              <w:spacing w:after="0"/>
              <w:rPr>
                <w:sz w:val="1"/>
                <w:szCs w:val="1"/>
                <w:color w:val="auto"/>
              </w:rPr>
            </w:pPr>
          </w:p>
        </w:tc>
      </w:tr>
      <w:tr>
        <w:trPr>
          <w:trHeight w:val="1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Florida Gulf Coast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517.51</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473.90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672.55</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81"/>
        </w:trPr>
        <w:tc>
          <w:tcPr>
            <w:tcW w:w="1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Phoenix</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393.28</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278.57</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658.45</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395.73</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276.93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646.95</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Nashville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344.87</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344.36</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447.79</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81"/>
        </w:trPr>
        <w:tc>
          <w:tcPr>
            <w:tcW w:w="1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Orlando</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416.42</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268.25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564.26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383.93</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249.76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528.04</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22"/>
        </w:trPr>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Los Angeles/Orange</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County</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305.18</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297.23</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350.62</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5"/>
                <w:szCs w:val="15"/>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83"/>
        </w:trPr>
        <w:tc>
          <w:tcPr>
            <w:tcW w:w="1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San Diego</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3,294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295.65</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218.24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410.72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293.18</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231.22</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433.50</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Boston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289.70</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283.72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280.30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287.46</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81"/>
        </w:trPr>
        <w:tc>
          <w:tcPr>
            <w:tcW w:w="1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238.13</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193.26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297.12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237.00</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190.56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289.97</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22"/>
        </w:trPr>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 D.C.</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(CBD)</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309.82</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191.85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289.11</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291.55</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83"/>
        </w:trPr>
        <w:tc>
          <w:tcPr>
            <w:tcW w:w="1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Northern Virginia</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268.19</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185.77</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297.46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258.13</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187.25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296.74</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Chicago</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252.09</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257.81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255.54</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249.73</w:t>
            </w:r>
          </w:p>
        </w:tc>
        <w:tc>
          <w:tcPr>
            <w:tcW w:w="100" w:type="dxa"/>
            <w:vAlign w:val="bottom"/>
          </w:tcPr>
          <w:p>
            <w:pPr>
              <w:spacing w:after="0"/>
              <w:rPr>
                <w:sz w:val="14"/>
                <w:szCs w:val="14"/>
                <w:color w:val="auto"/>
              </w:rPr>
            </w:pP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27"/>
        </w:trPr>
        <w:tc>
          <w:tcPr>
            <w:tcW w:w="1200" w:type="dxa"/>
            <w:vAlign w:val="bottom"/>
            <w:gridSpan w:val="2"/>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color w:val="auto"/>
              </w:rPr>
              <w:t>San Francisco/San</w:t>
            </w: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Jose</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4,162</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254.71</w:t>
            </w:r>
          </w:p>
        </w:tc>
        <w:tc>
          <w:tcPr>
            <w:tcW w:w="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175.69</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261.00</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241.04</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157.34</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231.55</w:t>
            </w: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12.7%</w:t>
            </w:r>
          </w:p>
        </w:tc>
        <w:tc>
          <w:tcPr>
            <w:tcW w:w="0" w:type="dxa"/>
            <w:vAlign w:val="bottom"/>
          </w:tcPr>
          <w:p>
            <w:pPr>
              <w:spacing w:after="0"/>
              <w:rPr>
                <w:sz w:val="1"/>
                <w:szCs w:val="1"/>
                <w:color w:val="auto"/>
              </w:rPr>
            </w:pPr>
          </w:p>
        </w:tc>
      </w:tr>
      <w:tr>
        <w:trPr>
          <w:trHeight w:val="1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Seattle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246.07</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248.84</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230.55</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81"/>
        </w:trPr>
        <w:tc>
          <w:tcPr>
            <w:tcW w:w="1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Atlanta</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212.87</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66.9%</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142.34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239.51</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202.78</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125.29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206.10</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16.2%</w:t>
            </w:r>
          </w:p>
        </w:tc>
        <w:tc>
          <w:tcPr>
            <w:tcW w:w="0" w:type="dxa"/>
            <w:vAlign w:val="bottom"/>
          </w:tcPr>
          <w:p>
            <w:pPr>
              <w:spacing w:after="0"/>
              <w:rPr>
                <w:sz w:val="1"/>
                <w:szCs w:val="1"/>
                <w:color w:val="auto"/>
              </w:rPr>
            </w:pPr>
          </w:p>
        </w:tc>
      </w:tr>
      <w:tr>
        <w:trPr>
          <w:trHeight w:val="1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Houston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208.40</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202.39</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201.19</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81"/>
        </w:trPr>
        <w:tc>
          <w:tcPr>
            <w:tcW w:w="1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249.07</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136.53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248.67</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256.02</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169.83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300.41</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0" w:type="dxa"/>
            <w:vAlign w:val="bottom"/>
          </w:tcPr>
          <w:p>
            <w:pPr>
              <w:spacing w:after="0"/>
              <w:rPr>
                <w:sz w:val="1"/>
                <w:szCs w:val="1"/>
                <w:color w:val="auto"/>
              </w:rPr>
            </w:pPr>
          </w:p>
        </w:tc>
      </w:tr>
      <w:tr>
        <w:trPr>
          <w:trHeight w:val="1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San Antonio</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226.17</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217.83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216.95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218.75</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81"/>
        </w:trPr>
        <w:tc>
          <w:tcPr>
            <w:tcW w:w="1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New Orleans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202.57</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131.61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210.83</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193.96</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138.52</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218.31</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Denver</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201.83</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199.13</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205.67</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81"/>
        </w:trPr>
        <w:tc>
          <w:tcPr>
            <w:tcW w:w="1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2,551</w:t>
            </w:r>
          </w:p>
        </w:tc>
        <w:tc>
          <w:tcPr>
            <w:tcW w:w="10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298.83</w:t>
            </w:r>
          </w:p>
        </w:tc>
        <w:tc>
          <w:tcPr>
            <w:tcW w:w="80" w:type="dxa"/>
            <w:vAlign w:val="bottom"/>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204.00</w:t>
            </w:r>
          </w:p>
        </w:tc>
        <w:tc>
          <w:tcPr>
            <w:tcW w:w="10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318.75</w:t>
            </w:r>
          </w:p>
        </w:tc>
        <w:tc>
          <w:tcPr>
            <w:tcW w:w="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295.74</w:t>
            </w:r>
          </w:p>
        </w:tc>
        <w:tc>
          <w:tcPr>
            <w:tcW w:w="100" w:type="dxa"/>
            <w:vAlign w:val="bottom"/>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0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193.04</w:t>
            </w:r>
          </w:p>
        </w:tc>
        <w:tc>
          <w:tcPr>
            <w:tcW w:w="10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305.70</w:t>
            </w:r>
          </w:p>
        </w:tc>
        <w:tc>
          <w:tcPr>
            <w:tcW w:w="100" w:type="dxa"/>
            <w:vAlign w:val="bottom"/>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76"/>
        </w:trPr>
        <w:tc>
          <w:tcPr>
            <w:tcW w:w="1200" w:type="dxa"/>
            <w:vAlign w:val="bottom"/>
            <w:tcBorders>
              <w:bottom w:val="single" w:sz="8" w:color="CFF0FC"/>
            </w:tcBorders>
            <w:gridSpan w:val="2"/>
          </w:tcPr>
          <w:p>
            <w:pPr>
              <w:ind w:left="100"/>
              <w:spacing w:after="0"/>
              <w:rPr>
                <w:sz w:val="20"/>
                <w:szCs w:val="20"/>
                <w:color w:val="auto"/>
              </w:rPr>
            </w:pPr>
            <w:r>
              <w:rPr>
                <w:rFonts w:ascii="Times New Roman" w:cs="Times New Roman" w:eastAsia="Times New Roman" w:hAnsi="Times New Roman"/>
                <w:sz w:val="13"/>
                <w:szCs w:val="13"/>
                <w:color w:val="auto"/>
              </w:rPr>
              <w:t>Domestic</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Borders>
              <w:bottom w:val="single" w:sz="8" w:color="CFF0FC"/>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40,340</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332.09</w:t>
            </w:r>
          </w:p>
        </w:tc>
        <w:tc>
          <w:tcPr>
            <w:tcW w:w="8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232.78</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389.91</w:t>
            </w: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317.42</w:t>
            </w:r>
          </w:p>
        </w:tc>
        <w:tc>
          <w:tcPr>
            <w:tcW w:w="10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70.7%</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224.31</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374.29</w:t>
            </w:r>
          </w:p>
        </w:tc>
        <w:tc>
          <w:tcPr>
            <w:tcW w:w="10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256"/>
        </w:trPr>
        <w:tc>
          <w:tcPr>
            <w:tcW w:w="1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200" w:type="dxa"/>
            <w:vAlign w:val="bottom"/>
            <w:tcBorders>
              <w:bottom w:val="single" w:sz="8" w:color="CFF0FC"/>
            </w:tcBorders>
            <w:gridSpan w:val="2"/>
          </w:tcPr>
          <w:p>
            <w:pPr>
              <w:ind w:left="100"/>
              <w:spacing w:after="0"/>
              <w:rPr>
                <w:sz w:val="20"/>
                <w:szCs w:val="20"/>
                <w:color w:val="auto"/>
              </w:rPr>
            </w:pPr>
            <w:r>
              <w:rPr>
                <w:rFonts w:ascii="Times New Roman" w:cs="Times New Roman" w:eastAsia="Times New Roman" w:hAnsi="Times New Roman"/>
                <w:sz w:val="13"/>
                <w:szCs w:val="13"/>
                <w:color w:val="auto"/>
              </w:rPr>
              <w:t>International</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FF0FC"/>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1,499</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199.31</w:t>
            </w:r>
          </w:p>
        </w:tc>
        <w:tc>
          <w:tcPr>
            <w:tcW w:w="8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133.80</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190.79</w:t>
            </w: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200.88</w:t>
            </w:r>
          </w:p>
        </w:tc>
        <w:tc>
          <w:tcPr>
            <w:tcW w:w="10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127.43</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184.07</w:t>
            </w:r>
          </w:p>
        </w:tc>
        <w:tc>
          <w:tcPr>
            <w:tcW w:w="100" w:type="dxa"/>
            <w:vAlign w:val="bottom"/>
            <w:tcBorders>
              <w:bottom w:val="single" w:sz="8" w:color="CFF0FC"/>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Borders>
              <w:bottom w:val="single" w:sz="8" w:color="CFF0FC"/>
            </w:tcBorders>
          </w:tcPr>
          <w:p>
            <w:pPr>
              <w:spacing w:after="0"/>
              <w:rPr>
                <w:sz w:val="17"/>
                <w:szCs w:val="17"/>
                <w:color w:val="auto"/>
              </w:rPr>
            </w:pPr>
          </w:p>
        </w:tc>
        <w:tc>
          <w:tcPr>
            <w:tcW w:w="8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99"/>
        </w:trPr>
        <w:tc>
          <w:tcPr>
            <w:tcW w:w="12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All Locations</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41,839</w:t>
            </w:r>
          </w:p>
        </w:tc>
        <w:tc>
          <w:tcPr>
            <w:tcW w:w="20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327.54</w:t>
            </w:r>
          </w:p>
        </w:tc>
        <w:tc>
          <w:tcPr>
            <w:tcW w:w="8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229.24</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382.83</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313.67</w:t>
            </w:r>
          </w:p>
        </w:tc>
        <w:tc>
          <w:tcPr>
            <w:tcW w:w="10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220.84</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367.53</w:t>
            </w:r>
          </w:p>
        </w:tc>
        <w:tc>
          <w:tcPr>
            <w:tcW w:w="1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20"/>
        </w:trPr>
        <w:tc>
          <w:tcPr>
            <w:tcW w:w="1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17" w:lineRule="exact"/>
        <w:rPr>
          <w:sz w:val="20"/>
          <w:szCs w:val="20"/>
          <w:color w:val="auto"/>
        </w:rPr>
      </w:pPr>
    </w:p>
    <w:p>
      <w:pPr>
        <w:ind w:left="420" w:right="160" w:hanging="412"/>
        <w:spacing w:after="0" w:line="258" w:lineRule="auto"/>
        <w:tabs>
          <w:tab w:leader="none" w:pos="32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our ownership of The Ritz Carlton O'ahu, Turtle Bay, golf revenues were recorded by the property based on gross sales. After our acquisition of the property in July 2024, the golf course operates under a lease agreement, under which we record rental income, resulting in lower total revenues when compared to the periods prior to our ownership.</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by Location - actual, based on ownership period</w:t>
      </w:r>
      <w:r>
        <w:rPr>
          <w:rFonts w:ascii="Times New Roman" w:cs="Times New Roman" w:eastAsia="Times New Roman" w:hAnsi="Times New Roman"/>
          <w:sz w:val="7"/>
          <w:szCs w:val="7"/>
          <w:b w:val="1"/>
          <w:bCs w:val="1"/>
          <w:color w:val="auto"/>
        </w:rPr>
        <w:t>(1)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77"/>
              <w:spacing w:after="0"/>
              <w:rPr>
                <w:sz w:val="20"/>
                <w:szCs w:val="20"/>
                <w:color w:val="auto"/>
              </w:rPr>
            </w:pPr>
            <w:r>
              <w:rPr>
                <w:rFonts w:ascii="Times New Roman" w:cs="Times New Roman" w:eastAsia="Times New Roman" w:hAnsi="Times New Roman"/>
                <w:sz w:val="13"/>
                <w:szCs w:val="13"/>
                <w:color w:val="auto"/>
              </w:rPr>
              <w:t>As of December 31,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2025</w:t>
            </w:r>
          </w:p>
        </w:tc>
        <w:tc>
          <w:tcPr>
            <w:tcW w:w="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2024</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3"/>
                <w:szCs w:val="13"/>
                <w:color w:val="auto"/>
              </w:rPr>
              <w:t>Year ended December 31, 2025</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3"/>
                <w:szCs w:val="13"/>
                <w:color w:val="auto"/>
              </w:rPr>
              <w:t>Year ended December 31, 2024</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6"/>
              </w:rPr>
              <w:t>No. of</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No. of</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Average</w:t>
            </w:r>
          </w:p>
        </w:tc>
        <w:tc>
          <w:tcPr>
            <w:tcW w:w="10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color w:val="auto"/>
                <w:w w:val="95"/>
              </w:rPr>
              <w:t>Average</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w w:val="94"/>
              </w:rPr>
              <w:t>Total</w:t>
            </w:r>
          </w:p>
        </w:tc>
        <w:tc>
          <w:tcPr>
            <w:tcW w:w="100" w:type="dxa"/>
            <w:vAlign w:val="bottom"/>
          </w:tcPr>
          <w:p>
            <w:pPr>
              <w:spacing w:after="0"/>
              <w:rPr>
                <w:sz w:val="10"/>
                <w:szCs w:val="10"/>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Average</w:t>
            </w:r>
          </w:p>
        </w:tc>
        <w:tc>
          <w:tcPr>
            <w:tcW w:w="10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color w:val="auto"/>
                <w:w w:val="95"/>
              </w:rPr>
              <w:t>Average</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color w:val="auto"/>
                <w:w w:val="94"/>
              </w:rPr>
              <w:t>Total</w:t>
            </w:r>
          </w:p>
        </w:tc>
        <w:tc>
          <w:tcPr>
            <w:tcW w:w="9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color w:val="auto"/>
                <w:w w:val="97"/>
              </w:rPr>
              <w:t>Percent</w:t>
            </w: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7"/>
              </w:rPr>
              <w:t>Percent</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0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color w:val="auto"/>
                <w:w w:val="95"/>
              </w:rPr>
              <w:t>Occupancy</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0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color w:val="auto"/>
                <w:w w:val="99"/>
              </w:rPr>
              <w:t>Occupancy</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9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color w:val="auto"/>
                <w:w w:val="97"/>
              </w:rPr>
              <w:t>Change in</w:t>
            </w: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7"/>
              </w:rPr>
              <w:t>Change in</w:t>
            </w:r>
          </w:p>
        </w:tc>
        <w:tc>
          <w:tcPr>
            <w:tcW w:w="0" w:type="dxa"/>
            <w:vAlign w:val="bottom"/>
          </w:tcPr>
          <w:p>
            <w:pPr>
              <w:spacing w:after="0"/>
              <w:rPr>
                <w:sz w:val="1"/>
                <w:szCs w:val="1"/>
                <w:color w:val="auto"/>
              </w:rPr>
            </w:pPr>
          </w:p>
        </w:tc>
      </w:tr>
      <w:tr>
        <w:trPr>
          <w:trHeight w:val="18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Properties</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Properties</w:t>
            </w:r>
          </w:p>
        </w:tc>
        <w:tc>
          <w:tcPr>
            <w:tcW w:w="10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Room Rate</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Percentage</w:t>
            </w:r>
          </w:p>
        </w:tc>
        <w:tc>
          <w:tcPr>
            <w:tcW w:w="10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RevPAR</w:t>
            </w:r>
          </w:p>
        </w:tc>
        <w:tc>
          <w:tcPr>
            <w:tcW w:w="100" w:type="dxa"/>
            <w:vAlign w:val="bottom"/>
          </w:tcPr>
          <w:p>
            <w:pPr>
              <w:spacing w:after="0"/>
              <w:rPr>
                <w:sz w:val="15"/>
                <w:szCs w:val="15"/>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5"/>
              </w:rPr>
              <w:t>RevPAR</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Room Rate</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Percentage</w:t>
            </w: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RevPAR</w:t>
            </w:r>
          </w:p>
        </w:tc>
        <w:tc>
          <w:tcPr>
            <w:tcW w:w="100" w:type="dxa"/>
            <w:vAlign w:val="bottom"/>
          </w:tcPr>
          <w:p>
            <w:pPr>
              <w:spacing w:after="0"/>
              <w:rPr>
                <w:sz w:val="15"/>
                <w:szCs w:val="15"/>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5"/>
              </w:rPr>
              <w:t>RevPAR</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RevPAR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3"/>
              </w:rPr>
              <w:t>Total RevPAR</w:t>
            </w:r>
          </w:p>
        </w:tc>
        <w:tc>
          <w:tcPr>
            <w:tcW w:w="0" w:type="dxa"/>
            <w:vAlign w:val="bottom"/>
          </w:tcPr>
          <w:p>
            <w:pPr>
              <w:spacing w:after="0"/>
              <w:rPr>
                <w:sz w:val="1"/>
                <w:szCs w:val="1"/>
                <w:color w:val="auto"/>
              </w:rPr>
            </w:pPr>
          </w:p>
        </w:tc>
      </w:tr>
      <w:tr>
        <w:trPr>
          <w:trHeight w:val="175"/>
        </w:trPr>
        <w:tc>
          <w:tcPr>
            <w:tcW w:w="10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Maui</w:t>
            </w:r>
          </w:p>
        </w:tc>
        <w:tc>
          <w:tcPr>
            <w:tcW w:w="80" w:type="dxa"/>
            <w:vAlign w:val="bottom"/>
            <w:tcBorders>
              <w:top w:val="single" w:sz="8" w:color="CFF0FC"/>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top w:val="single" w:sz="8" w:color="CFF0FC"/>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654.62</w:t>
            </w:r>
          </w:p>
        </w:tc>
        <w:tc>
          <w:tcPr>
            <w:tcW w:w="100" w:type="dxa"/>
            <w:vAlign w:val="bottom"/>
            <w:tcBorders>
              <w:top w:val="single" w:sz="8" w:color="CFF0FC"/>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71.3%</w:t>
            </w: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467.04</w:t>
            </w: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728.79</w:t>
            </w: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663.09</w:t>
            </w:r>
          </w:p>
        </w:tc>
        <w:tc>
          <w:tcPr>
            <w:tcW w:w="100" w:type="dxa"/>
            <w:vAlign w:val="bottom"/>
            <w:tcBorders>
              <w:top w:val="single" w:sz="8" w:color="CFF0FC"/>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398.83</w:t>
            </w: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641.01</w:t>
            </w:r>
          </w:p>
        </w:tc>
        <w:tc>
          <w:tcPr>
            <w:tcW w:w="10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17.1%</w:t>
            </w:r>
          </w:p>
        </w:tc>
        <w:tc>
          <w:tcPr>
            <w:tcW w:w="80" w:type="dxa"/>
            <w:vAlign w:val="bottom"/>
            <w:tcBorders>
              <w:top w:val="single" w:sz="8" w:color="CFF0FC"/>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13.7  %</w:t>
            </w:r>
          </w:p>
        </w:tc>
        <w:tc>
          <w:tcPr>
            <w:tcW w:w="0" w:type="dxa"/>
            <w:vAlign w:val="bottom"/>
          </w:tcPr>
          <w:p>
            <w:pPr>
              <w:spacing w:after="0"/>
              <w:rPr>
                <w:sz w:val="1"/>
                <w:szCs w:val="1"/>
                <w:color w:val="auto"/>
              </w:rPr>
            </w:pPr>
          </w:p>
        </w:tc>
      </w:tr>
      <w:tr>
        <w:trPr>
          <w:trHeight w:val="17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Oahu</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489.06</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345.57</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412.98</w:t>
            </w:r>
          </w:p>
        </w:tc>
        <w:tc>
          <w:tcPr>
            <w:tcW w:w="10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36.3%</w:t>
            </w:r>
          </w:p>
        </w:tc>
        <w:tc>
          <w:tcPr>
            <w:tcW w:w="8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48.8%</w:t>
            </w:r>
          </w:p>
        </w:tc>
        <w:tc>
          <w:tcPr>
            <w:tcW w:w="0" w:type="dxa"/>
            <w:vAlign w:val="bottom"/>
          </w:tcPr>
          <w:p>
            <w:pPr>
              <w:spacing w:after="0"/>
              <w:rPr>
                <w:sz w:val="1"/>
                <w:szCs w:val="1"/>
                <w:color w:val="auto"/>
              </w:rPr>
            </w:pPr>
          </w:p>
        </w:tc>
      </w:tr>
      <w:tr>
        <w:trPr>
          <w:trHeight w:val="181"/>
        </w:trPr>
        <w:tc>
          <w:tcPr>
            <w:tcW w:w="1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Miami</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549.06</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400.38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703.89</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526.83</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369.84</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641.42</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17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Jacksonville</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541.61</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517.28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840.68</w:t>
            </w:r>
          </w:p>
        </w:tc>
        <w:tc>
          <w:tcPr>
            <w:tcW w:w="10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81"/>
        </w:trPr>
        <w:tc>
          <w:tcPr>
            <w:tcW w:w="1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New York</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418.18</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363.64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520.10</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385.01</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326.69</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453.98</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7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Florida Gulf Coast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498.52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657.92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467.55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642.56</w:t>
            </w:r>
          </w:p>
        </w:tc>
        <w:tc>
          <w:tcPr>
            <w:tcW w:w="10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81"/>
        </w:trPr>
        <w:tc>
          <w:tcPr>
            <w:tcW w:w="1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Phoenix</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393.28</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278.57</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658.45</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395.73</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276.93</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646.95</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7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Nashville</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344.87</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355.16</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467.80</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81"/>
        </w:trPr>
        <w:tc>
          <w:tcPr>
            <w:tcW w:w="1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Orlando</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416.42</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268.25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564.26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383.93</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249.76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528.04</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22"/>
        </w:trPr>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Los</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Angeles/Orange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County</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305.18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297.23</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350.62</w:t>
            </w:r>
          </w:p>
        </w:tc>
        <w:tc>
          <w:tcPr>
            <w:tcW w:w="10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83"/>
        </w:trPr>
        <w:tc>
          <w:tcPr>
            <w:tcW w:w="1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San Diego</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295.65</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218.24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410.72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293.18</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231.22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433.50</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7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Boston</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289.70</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283.72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280.30</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218.97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287.46</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81"/>
        </w:trPr>
        <w:tc>
          <w:tcPr>
            <w:tcW w:w="1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Philadelphia</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238.13</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193.26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297.12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237.00</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190.56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289.97</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22"/>
        </w:trPr>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 D.C.</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(CBD)</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307.83</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194.64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288.63</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289.57</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83"/>
        </w:trPr>
        <w:tc>
          <w:tcPr>
            <w:tcW w:w="1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Northern Virginia</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268.19</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185.77</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297.46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258.13</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187.25</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296.74</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7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Chicago</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252.09</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257.81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255.54</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249.73</w:t>
            </w:r>
          </w:p>
        </w:tc>
        <w:tc>
          <w:tcPr>
            <w:tcW w:w="100" w:type="dxa"/>
            <w:vAlign w:val="bottom"/>
          </w:tcPr>
          <w:p>
            <w:pPr>
              <w:spacing w:after="0"/>
              <w:rPr>
                <w:sz w:val="14"/>
                <w:szCs w:val="14"/>
                <w:color w:val="auto"/>
              </w:rPr>
            </w:pP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27"/>
        </w:trPr>
        <w:tc>
          <w:tcPr>
            <w:tcW w:w="1160" w:type="dxa"/>
            <w:vAlign w:val="bottom"/>
            <w:gridSpan w:val="2"/>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color w:val="auto"/>
              </w:rPr>
              <w:t>San Francisco/San</w:t>
            </w: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Jose</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254.71</w:t>
            </w: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175.69</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261.00</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241.04</w:t>
            </w: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157.34</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231.55</w:t>
            </w: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11.7%</w:t>
            </w:r>
          </w:p>
        </w:tc>
        <w:tc>
          <w:tcPr>
            <w:tcW w:w="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12.7%</w:t>
            </w:r>
          </w:p>
        </w:tc>
        <w:tc>
          <w:tcPr>
            <w:tcW w:w="0" w:type="dxa"/>
            <w:vAlign w:val="bottom"/>
          </w:tcPr>
          <w:p>
            <w:pPr>
              <w:spacing w:after="0"/>
              <w:rPr>
                <w:sz w:val="1"/>
                <w:szCs w:val="1"/>
                <w:color w:val="auto"/>
              </w:rPr>
            </w:pPr>
          </w:p>
        </w:tc>
      </w:tr>
      <w:tr>
        <w:trPr>
          <w:trHeight w:val="17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Seattle</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246.07</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248.84</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169.99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230.55</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81"/>
        </w:trPr>
        <w:tc>
          <w:tcPr>
            <w:tcW w:w="1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Atlanta</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212.87</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142.34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239.51</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202.78</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125.29</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206.10</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16.2%</w:t>
            </w:r>
          </w:p>
        </w:tc>
        <w:tc>
          <w:tcPr>
            <w:tcW w:w="0" w:type="dxa"/>
            <w:vAlign w:val="bottom"/>
          </w:tcPr>
          <w:p>
            <w:pPr>
              <w:spacing w:after="0"/>
              <w:rPr>
                <w:sz w:val="1"/>
                <w:szCs w:val="1"/>
                <w:color w:val="auto"/>
              </w:rPr>
            </w:pPr>
          </w:p>
        </w:tc>
      </w:tr>
      <w:tr>
        <w:trPr>
          <w:trHeight w:val="17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Houston</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220.24</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214.37</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208.63</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81"/>
        </w:trPr>
        <w:tc>
          <w:tcPr>
            <w:tcW w:w="1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Austin</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249.07</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136.53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248.67</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256.02</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169.83</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300.41</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0" w:type="dxa"/>
            <w:vAlign w:val="bottom"/>
          </w:tcPr>
          <w:p>
            <w:pPr>
              <w:spacing w:after="0"/>
              <w:rPr>
                <w:sz w:val="1"/>
                <w:szCs w:val="1"/>
                <w:color w:val="auto"/>
              </w:rPr>
            </w:pPr>
          </w:p>
        </w:tc>
      </w:tr>
      <w:tr>
        <w:trPr>
          <w:trHeight w:val="17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San Antonio</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226.17</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217.83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216.95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218.75</w:t>
            </w:r>
          </w:p>
        </w:tc>
        <w:tc>
          <w:tcPr>
            <w:tcW w:w="10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81"/>
        </w:trPr>
        <w:tc>
          <w:tcPr>
            <w:tcW w:w="1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New Orleans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202.57</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131.61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210.83</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193.96</w:t>
            </w: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138.52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218.31</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7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Denver</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201.83</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199.13</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205.67</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81"/>
        </w:trPr>
        <w:tc>
          <w:tcPr>
            <w:tcW w:w="1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327.43</w:t>
            </w:r>
          </w:p>
        </w:tc>
        <w:tc>
          <w:tcPr>
            <w:tcW w:w="100" w:type="dxa"/>
            <w:vAlign w:val="bottom"/>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10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221.78</w:t>
            </w:r>
          </w:p>
        </w:tc>
        <w:tc>
          <w:tcPr>
            <w:tcW w:w="10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343.04</w:t>
            </w:r>
          </w:p>
        </w:tc>
        <w:tc>
          <w:tcPr>
            <w:tcW w:w="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308.67</w:t>
            </w:r>
          </w:p>
        </w:tc>
        <w:tc>
          <w:tcPr>
            <w:tcW w:w="100" w:type="dxa"/>
            <w:vAlign w:val="bottom"/>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10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202.53</w:t>
            </w:r>
          </w:p>
        </w:tc>
        <w:tc>
          <w:tcPr>
            <w:tcW w:w="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314.00</w:t>
            </w:r>
          </w:p>
        </w:tc>
        <w:tc>
          <w:tcPr>
            <w:tcW w:w="100" w:type="dxa"/>
            <w:vAlign w:val="bottom"/>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63"/>
        </w:trPr>
        <w:tc>
          <w:tcPr>
            <w:tcW w:w="1160" w:type="dxa"/>
            <w:vAlign w:val="bottom"/>
            <w:tcBorders>
              <w:bottom w:val="single" w:sz="8" w:color="CFF0FC"/>
            </w:tcBorders>
            <w:gridSpan w:val="2"/>
          </w:tcPr>
          <w:p>
            <w:pPr>
              <w:ind w:left="100"/>
              <w:spacing w:after="0"/>
              <w:rPr>
                <w:sz w:val="20"/>
                <w:szCs w:val="20"/>
                <w:color w:val="auto"/>
              </w:rPr>
            </w:pPr>
            <w:r>
              <w:rPr>
                <w:rFonts w:ascii="Times New Roman" w:cs="Times New Roman" w:eastAsia="Times New Roman" w:hAnsi="Times New Roman"/>
                <w:sz w:val="13"/>
                <w:szCs w:val="13"/>
                <w:color w:val="auto"/>
              </w:rPr>
              <w:t>Domestic</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333.93</w:t>
            </w:r>
          </w:p>
        </w:tc>
        <w:tc>
          <w:tcPr>
            <w:tcW w:w="1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233.07</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389.64</w:t>
            </w: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314.82</w:t>
            </w:r>
          </w:p>
        </w:tc>
        <w:tc>
          <w:tcPr>
            <w:tcW w:w="1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221.71</w:t>
            </w: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368.78</w:t>
            </w:r>
          </w:p>
        </w:tc>
        <w:tc>
          <w:tcPr>
            <w:tcW w:w="1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75"/>
        </w:trPr>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60" w:type="dxa"/>
            <w:vAlign w:val="bottom"/>
            <w:tcBorders>
              <w:bottom w:val="single" w:sz="8" w:color="CFF0FC"/>
            </w:tcBorders>
            <w:gridSpan w:val="2"/>
          </w:tcPr>
          <w:p>
            <w:pPr>
              <w:ind w:left="100"/>
              <w:spacing w:after="0"/>
              <w:rPr>
                <w:sz w:val="20"/>
                <w:szCs w:val="20"/>
                <w:color w:val="auto"/>
              </w:rPr>
            </w:pPr>
            <w:r>
              <w:rPr>
                <w:rFonts w:ascii="Times New Roman" w:cs="Times New Roman" w:eastAsia="Times New Roman" w:hAnsi="Times New Roman"/>
                <w:sz w:val="13"/>
                <w:szCs w:val="13"/>
                <w:color w:val="auto"/>
              </w:rPr>
              <w:t>International</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199.31</w:t>
            </w:r>
          </w:p>
        </w:tc>
        <w:tc>
          <w:tcPr>
            <w:tcW w:w="1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133.80</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190.79</w:t>
            </w: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200.88</w:t>
            </w:r>
          </w:p>
        </w:tc>
        <w:tc>
          <w:tcPr>
            <w:tcW w:w="1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127.43</w:t>
            </w: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184.07</w:t>
            </w:r>
          </w:p>
        </w:tc>
        <w:tc>
          <w:tcPr>
            <w:tcW w:w="1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200"/>
        </w:trPr>
        <w:tc>
          <w:tcPr>
            <w:tcW w:w="11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All Locations</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8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329.42</w:t>
            </w:r>
          </w:p>
        </w:tc>
        <w:tc>
          <w:tcPr>
            <w:tcW w:w="1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229.61</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382.76</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311.21</w:t>
            </w:r>
          </w:p>
        </w:tc>
        <w:tc>
          <w:tcPr>
            <w:tcW w:w="1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218.41</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362.37</w:t>
            </w:r>
          </w:p>
        </w:tc>
        <w:tc>
          <w:tcPr>
            <w:tcW w:w="10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20"/>
        </w:trPr>
        <w:tc>
          <w:tcPr>
            <w:tcW w:w="10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w:t>
      </w:r>
    </w:p>
    <w:p>
      <w:pPr>
        <w:spacing w:after="0" w:line="9" w:lineRule="exact"/>
        <w:rPr>
          <w:sz w:val="20"/>
          <w:szCs w:val="20"/>
          <w:color w:val="auto"/>
        </w:rPr>
      </w:pPr>
    </w:p>
    <w:p>
      <w:pPr>
        <w:ind w:left="340" w:right="200" w:hanging="332"/>
        <w:spacing w:after="0" w:line="278" w:lineRule="auto"/>
        <w:tabs>
          <w:tab w:leader="none" w:pos="33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results of the portfolio for the time period of our ownership, including the results of non-comparable properties, dispositions through their date of disposal and acquisitions beginning as of the date of acquisition.</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Hotel Sales by Business Mix.</w:t>
      </w:r>
    </w:p>
    <w:p>
      <w:pPr>
        <w:spacing w:after="0" w:line="22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majority of our customers fall into three broad categories: transient, group and contract business. The information below is derived from business mix results from the 76 comparable hotels owned as of December 31, 2025, which excludes one hotel that was held-for-sale.</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Improvements in 2025 compared to 2024 were primarily driven by an increase in transient revenue of 4.9%, driven entirely by an increase in average rates, reflecting strong demand and improving leisure demand on Maui. As anticipated, group revenue declined by 0.6% as a result of planned renovation disruption from the Hyatt and Marriott Transformational Capital Programs and business mix shifting from group to transient in Maui in the first half of the year.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the results of our transient, group and contract business: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58"/>
        </w:trPr>
        <w:tc>
          <w:tcPr>
            <w:tcW w:w="5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jc w:val="right"/>
              <w:ind w:right="476"/>
              <w:spacing w:after="0" w:line="158" w:lineRule="exact"/>
              <w:rPr>
                <w:sz w:val="20"/>
                <w:szCs w:val="20"/>
                <w:color w:val="auto"/>
              </w:rPr>
            </w:pPr>
            <w:r>
              <w:rPr>
                <w:rFonts w:ascii="Times New Roman" w:cs="Times New Roman" w:eastAsia="Times New Roman" w:hAnsi="Times New Roman"/>
                <w:sz w:val="14"/>
                <w:szCs w:val="14"/>
                <w:b w:val="1"/>
                <w:bCs w:val="1"/>
                <w:color w:val="auto"/>
              </w:rPr>
              <w:t>Transient</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gridSpan w:val="2"/>
          </w:tcPr>
          <w:p>
            <w:pPr>
              <w:jc w:val="center"/>
              <w:ind w:right="480"/>
              <w:spacing w:after="0" w:line="158" w:lineRule="exact"/>
              <w:rPr>
                <w:sz w:val="20"/>
                <w:szCs w:val="20"/>
                <w:color w:val="auto"/>
              </w:rPr>
            </w:pPr>
            <w:r>
              <w:rPr>
                <w:rFonts w:ascii="Times New Roman" w:cs="Times New Roman" w:eastAsia="Times New Roman" w:hAnsi="Times New Roman"/>
                <w:sz w:val="14"/>
                <w:szCs w:val="14"/>
                <w:b w:val="1"/>
                <w:bCs w:val="1"/>
                <w:color w:val="auto"/>
              </w:rPr>
              <w:t>Group</w:t>
            </w:r>
          </w:p>
        </w:tc>
        <w:tc>
          <w:tcPr>
            <w:tcW w:w="340" w:type="dxa"/>
            <w:vAlign w:val="bottom"/>
          </w:tcPr>
          <w:p>
            <w:pPr>
              <w:spacing w:after="0"/>
              <w:rPr>
                <w:sz w:val="13"/>
                <w:szCs w:val="13"/>
                <w:color w:val="auto"/>
              </w:rPr>
            </w:pPr>
          </w:p>
        </w:tc>
        <w:tc>
          <w:tcPr>
            <w:tcW w:w="1420" w:type="dxa"/>
            <w:vAlign w:val="bottom"/>
          </w:tcPr>
          <w:p>
            <w:pPr>
              <w:ind w:left="260"/>
              <w:spacing w:after="0" w:line="158" w:lineRule="exact"/>
              <w:rPr>
                <w:sz w:val="20"/>
                <w:szCs w:val="20"/>
                <w:color w:val="auto"/>
              </w:rPr>
            </w:pPr>
            <w:r>
              <w:rPr>
                <w:rFonts w:ascii="Times New Roman" w:cs="Times New Roman" w:eastAsia="Times New Roman" w:hAnsi="Times New Roman"/>
                <w:sz w:val="14"/>
                <w:szCs w:val="14"/>
                <w:b w:val="1"/>
                <w:bCs w:val="1"/>
                <w:color w:val="auto"/>
              </w:rPr>
              <w:t>Contract</w:t>
            </w:r>
          </w:p>
        </w:tc>
      </w:tr>
      <w:tr>
        <w:trPr>
          <w:trHeight w:val="190"/>
        </w:trPr>
        <w:tc>
          <w:tcPr>
            <w:tcW w:w="5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340" w:type="dxa"/>
            <w:vAlign w:val="bottom"/>
          </w:tcPr>
          <w:p>
            <w:pPr>
              <w:spacing w:after="0"/>
              <w:rPr>
                <w:sz w:val="16"/>
                <w:szCs w:val="16"/>
                <w:color w:val="auto"/>
              </w:rPr>
            </w:pPr>
          </w:p>
        </w:tc>
        <w:tc>
          <w:tcPr>
            <w:tcW w:w="14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business</w:t>
            </w:r>
          </w:p>
        </w:tc>
      </w:tr>
      <w:tr>
        <w:trPr>
          <w:trHeight w:val="37"/>
        </w:trPr>
        <w:tc>
          <w:tcPr>
            <w:tcW w:w="57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5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Room nights (in thousands)</w:t>
            </w:r>
          </w:p>
        </w:tc>
        <w:tc>
          <w:tcPr>
            <w:tcW w:w="34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819</w:t>
            </w:r>
          </w:p>
        </w:tc>
      </w:tr>
      <w:tr>
        <w:trPr>
          <w:trHeight w:val="25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change in room nights vs. 2024</w:t>
            </w: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11.5%</w:t>
            </w:r>
          </w:p>
        </w:tc>
      </w:tr>
      <w:tr>
        <w:trPr>
          <w:trHeight w:val="263"/>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Rooms Revenues (in millions)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2,129</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178</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change in rooms revenues vs. 2024</w:t>
            </w: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17.6%</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Liquidity and Capital Resources of Host Inc. and Host L.P. </w:t>
      </w:r>
      <w:r>
        <w:rPr>
          <w:rFonts w:ascii="Times New Roman" w:cs="Times New Roman" w:eastAsia="Times New Roman" w:hAnsi="Times New Roman"/>
          <w:sz w:val="18"/>
          <w:szCs w:val="18"/>
          <w:color w:val="auto"/>
        </w:rPr>
        <w:t>The liquidity and capital resources of Host Inc. and Host L.P. are derived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activities of Host L.P., which generates the capital required by our business from hotel operations, the incurrence of debt, the issuance of OP units or the sale of hotels. Host Inc. is a REIT and its only significant asset is the ownership of general and limited partner interests of Host L.P.; therefore, its financing and investing activities are conducted through Host L.P., except for the issuance of its common and preferred stock. Proceeds from common and preferred stock issuances by Host Inc. are contributed to Host L.P. in exchange for common and preferred OP units. Additionally, funds used by Host Inc. to pay dividends or to repurchase its stock are provided by Host L.P. Therefore, while we have noted those areas in which it is important to distinguish between Host Inc. and Host L.P., we have not included a separate discussion of liquidity and capital resources as the discussion below applies to both Host Inc. and Host L.P.</w:t>
      </w:r>
    </w:p>
    <w:p>
      <w:pPr>
        <w:spacing w:after="0" w:line="185"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Overview. </w:t>
      </w:r>
      <w:r>
        <w:rPr>
          <w:rFonts w:ascii="Times New Roman" w:cs="Times New Roman" w:eastAsia="Times New Roman" w:hAnsi="Times New Roman"/>
          <w:sz w:val="18"/>
          <w:szCs w:val="18"/>
          <w:color w:val="auto"/>
        </w:rPr>
        <w:t>We look to maintain a capital structure and liquidity profile with an appropriate balance of cash, debt and equity to provide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flexibility given the inherent volatility of the lodging industry. We believe this strategy has resulted in a better cost of debt capital, allowing us to complete opportunistic investments and acquisitions and positioning us to manage potential declines in operations throughout the lodging cycle. We have structured our debt profile to maintain a balanced maturity schedule and to minimize the number of assets that are encumbered by mortgage debt. Currently, only one of our consolidated hotels is encumbered by mortgage debt. Over the past several years leading up to the COVID-19 pandemic, we had decreased our leverage as measured by our net debt-to-EBITDA ratio and reduced our debt service obligations, leading to an increase in our fixed charge coverage ratio. As a result, the company was well positioned at the onset of the COVID-19 pandemic with sufficient liquidity and financial flexibility to withstand the severe slowdown in U.S. economic activity and lodging demand brought on by the pandemic. We intend to use available cash in the near term predominantly to fund, and believe that we have sufficient liquidity to fund, corporate expenses, capital expenditures, hotel acquisitions and dividends and remain well positioned to execute additional investment transactions to the extent opportunities arise.</w:t>
      </w:r>
    </w:p>
    <w:p>
      <w:pPr>
        <w:spacing w:after="0" w:line="18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Requirements. </w:t>
      </w:r>
      <w:r>
        <w:rPr>
          <w:rFonts w:ascii="Times New Roman" w:cs="Times New Roman" w:eastAsia="Times New Roman" w:hAnsi="Times New Roman"/>
          <w:sz w:val="18"/>
          <w:szCs w:val="18"/>
          <w:color w:val="auto"/>
        </w:rPr>
        <w:t>We use cash for acquisitions, capital expenditures, debt payments, operating costs, and corporate and other expenses, as well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for dividends and distributions to stockholders and Host L.P. limited partners and stock and OP unit repurchases. Our primary sources of cash include cash from operations, proceeds from the sale of assets, borrowings under our credit facility and debt and equity issuances. Our next significant maturity is in January 2027, which is one of the two $500 million term loans under our credit facility that has a one-year extension option, subject to certain conditions. For our long-term senior note and credit facility obligations, we historically have refinanced these amounts prior to their maturity through the issuance of new senior notes or the entry into new credit facility agreements. In the short term, our cash obligations include the minimum lease payments on our ground leases, which in 2026 are approximately $32 million, and most of our other operating obligations. In the long term, our ground lease payments are the longest time horizon obligations and currently run up to 98 years. For a summary of our obligations under our ground leases, see Exhibit 99.1 to this Annual Report.</w:t>
      </w:r>
    </w:p>
    <w:p>
      <w:pPr>
        <w:spacing w:after="0" w:line="19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liabilities on our consolidated balance sheet, under our capital expenditures program, we have budgeted to spend $525 million to $625 million in 2026. Commitments for capital expenditures generally run less than two years for the life of the project. In the long term, renewal and replacement ("R&amp;R") capital expenditures are designed to maintain the quality and competitiveness of our hotels and typically occur at intervals of seven to ten years. The projects are primarily funded through the FF&amp;E reserves established at each hotel. Average annual R&amp;R spend over the last five years has been $286 million.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part of our investment in our Noble joint venture, we have made a $211.5 million capital commitment to Noble Fund V, an additional capital commitment of $30 million through a related co-investment, and a commitment to fund an amount equal to 10% of Noble Hospitality Fund VI, L.P. ("Noble Fund VI"), regardless of the ultimate size of Noble Fund VI. As of December 31, 2025, we have funded $144 million and $29 million of the Noble Fund V and co-investment commitments, respectively, with the remaining amounts expected to be paid by the end of 2026. Additionally, as part of our agreements with the Noble Group, the counterparty has a one-time put right in 2030 to require us to purchase up to an additional 26% interest in the entities in which we currently hold a 49% interest, at a fixed price of $56 million.</w:t>
      </w:r>
    </w:p>
    <w:p>
      <w:pPr>
        <w:spacing w:after="0" w:line="18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As a REIT, Host Inc. is required to pay dividends to its stockholders in an amount equal to at least 90% of its taxable income, excluding net capital gain, on an annual basis. Host Inc.’s policy on common dividends generally is to distribute, over time, at least 100% of its taxable income, including capital gains. The February 2026 sale of the Four Seasons Resort Orlando at Walt Disney World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Resort and the Four Seasons Resort and Residences Jackson Hole is expected to generate an approximate $500 million capital gain on sale. If we are unable to find a suitable acquisition asset to consummate a like-kind exchange, Host Inc. would intend to distribute the capital gain to its stockholders. For the remaining proceeds, we will weigh potential cash uses which may include, subject to market conditions, acquisitions, other investments in our portfolio, common stock repurchases or increased dividends, which dividends could be in excess of taxable income. Any special dividend will be subject to approval by Host Inc.’s Board of Directors.</w:t>
      </w:r>
    </w:p>
    <w:p>
      <w:pPr>
        <w:spacing w:after="0" w:line="197"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See also Part II Item 8. “Financial Statements and Supplementary Data – Note 17. Legal Proceedings, Guarantees and Contingencies” for a discussion of obligations under contingent liabilities or guarantees.</w:t>
      </w:r>
    </w:p>
    <w:p>
      <w:pPr>
        <w:spacing w:after="0" w:line="158"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Resources. </w:t>
      </w:r>
      <w:r>
        <w:rPr>
          <w:rFonts w:ascii="Times New Roman" w:cs="Times New Roman" w:eastAsia="Times New Roman" w:hAnsi="Times New Roman"/>
          <w:sz w:val="18"/>
          <w:szCs w:val="18"/>
          <w:color w:val="auto"/>
        </w:rPr>
        <w:t>As of December 31, 2025, we had $768 million of cash and cash equivalents, $167 million in our FF&amp;E escrow reserve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 billion available under the revolver portion of our credit facility. In the near term, we expect to fund our above cash requirements, including our dividends, capital expenditures program, debt service and operating and corporate costs, primarily through hotel operations and our existing cash reserves. Based on our cash balance at December 31, 2025 and our expected cash obligations, we believe we will have sufficient liquidity to meet our near-term obligations. Future acquisitions and/or obligations also may be funded through a draw on the available portion of the revolver under our credit facility, equity issuances, or asset sales.</w:t>
      </w:r>
    </w:p>
    <w:p>
      <w:pPr>
        <w:spacing w:after="0" w:line="18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depend primarily on external sources of capital to finance future growth, including acquisitions. As a result, the liquidity and debt capacity provided by our credit facility and the ability to issue senior unsecured debt are key components of our capital structure. Our financial flexibility, including our ability to incur debt, pay dividends, make distributions and make investments, is contingent on our ability to maintain compliance with the financial covenants of our credit facility and senior notes, which include, among other things, the allowable amounts of leverage, interest coverage and fixed charges.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graph summarizes our aggregate debt maturities as of February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154305</wp:posOffset>
            </wp:positionV>
            <wp:extent cx="4457700" cy="24860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45770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17" w:lineRule="exact"/>
        <w:rPr>
          <w:sz w:val="20"/>
          <w:szCs w:val="20"/>
          <w:color w:val="auto"/>
        </w:rPr>
      </w:pPr>
    </w:p>
    <w:p>
      <w:pPr>
        <w:ind w:left="660" w:right="300" w:hanging="652"/>
        <w:spacing w:after="0" w:line="259" w:lineRule="auto"/>
        <w:tabs>
          <w:tab w:leader="none" w:pos="65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term loan under our credit facility that is due in 2027 has an extension option that would extend maturity of the instrument to 2028, subject to meeting certain conditions, including payment of a fee. The second term loan tranche that is due in 2028 does not have an extension option.</w:t>
      </w:r>
    </w:p>
    <w:p>
      <w:pPr>
        <w:ind w:left="640" w:hanging="632"/>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 and other debt excludes principal amortization of $2 million each year in 2026 and 2027 for the mortgage loan that matures in 2027.</w:t>
      </w:r>
    </w:p>
    <w:p>
      <w:pPr>
        <w:spacing w:after="0" w:line="222"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Given the total amount of our debt and our maturity schedule, we may continue to redeem or repurchase senior notes from time to time, taking advantage of favorable market conditions. In February 2026, Host Inc.’s Board of Directors authorized repurchases of up to $1.0 billion of senior notes other than in accordance with their respective terms, of which the entire amount remains available under this authority. We may purchase senior notes for cash through open market purchases, privately negotiated transactions, a tender offer or, in some cases, through the early redemption of such securities pursuant to their terms. Repurchases of debt will depend on prevailing market conditions, our liquidity requirements, contractual restrictions and other factors. Any retirement before the maturity date will affect earnings and NAREIT FFO per diluted share as a result of the payment of any applicable call premiums and the accelerated expensing of previously deferred and capitalized financing costs. Accordingly, considering our priorities in managing our capital structure and liquidity profile and given prevailing conditions and relative pricing in the capital markets, we may, at any time, subject to applicable securities laws and the requirements of our credit facility and senior notes, be considering, or be in discussions with respect to, the repurchase or issuance of exchangeable debentures and/or senior notes or the repurchase or sale of our common stock. Any such transactions may, subject to applicable securities laws, occur simultaneously.</w:t>
      </w:r>
    </w:p>
    <w:p>
      <w:pPr>
        <w:spacing w:after="0" w:line="1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Two programs currently are in place relating to purchases and sales of our common stock. First, under our common stock repurchase program, common stock may be purchased from time to time depending upon market conditions and may be purchased in the open market or through private transactions or by other means, including principal transactions with various financial institutions, like accelerated share repurchases, forwards, options, and similar transactions and through one or more trading plans designed to comply with Rule 10b5-1 under the Securities Exchange Act of 1934, as amended. The plan does not obligate us to repurchase any specific number or any specific dollar amount of shares and may be suspended at any time at our discretion. In the fourth quarter of 2025, no shares were repurchased. For full year 2025, we repurchased 13.1 million shares at an average price of $15.68 per share, exclusive of commissions, for a total of $205 million. At December 31, 2025, we had $480 million available for repurchase under the program.</w:t>
      </w:r>
    </w:p>
    <w:p>
      <w:pPr>
        <w:spacing w:after="0" w:line="18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Second, on May 31, 2023, we entered into a distribution agreement with J.P. Morgan Securities LLC, BofA Securities, Inc., Goldman Sachs &amp; Co. LLC, Jefferies LLC, Morgan Stanley &amp; Co. LLC, Scotia Capital (USA) Inc., Truist Securities, Inc. and Wells Fargo Securities, LLC, as sales agents pursuant to which Host Inc. may offer and sell, from time to time, shares of Host Inc. common stock having an aggregate offering price of up to</w:t>
      </w:r>
    </w:p>
    <w:p>
      <w:pPr>
        <w:spacing w:after="0" w:line="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$600 million. The sales will be made in transactions that are deemed to be “at the market” offerings under the SEC rules. We may sell shares of Host Inc. common stock under this program from time to time based on market conditions, although we are not under an obligation to sell any shares. We may sell shares when we believe conditions are advantageous and there is a compelling use of proceeds, including to fund future potential acquisitions or other investment opportunities. The agreement also contemplates that, in addition to the offering and sale of shares to or through the sales agents, we may enter into separate</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forward sale agreements with each of the forward purchasers named in the agreement. No shares were issued in 2025 or 2024. As of December 31, 2025, there was $600 million of remaining capacity under the agreement and the agreement expires pursuant to its terms on May 31, 2026.</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continue to explore potential acquisitions and dispositions. We anticipate that any such future acquisitions will be funded by cash, debt issuances by Host L.P., equity offerings of Host Inc., issuances of OP units by Host L.P., or proceeds from sales of hotels. Given the nature of these transactions, we can make no assurances that we will be successful in acquiring any one or more hotels that we may review, bid on or negotiate to purchase or that we will be successful in disposing of any one or more of our hotels. We may acquire additional hotels or dispose of hotels through various structures, including transactions involving single assets, portfolios, joint ventures, acquisitions of the securities or assets of other REITs or distributions of hotels to our stockholders.</w:t>
      </w:r>
    </w:p>
    <w:p>
      <w:pPr>
        <w:spacing w:after="0" w:line="183"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Sources and Uses of Cash. </w:t>
      </w:r>
      <w:r>
        <w:rPr>
          <w:rFonts w:ascii="Times New Roman" w:cs="Times New Roman" w:eastAsia="Times New Roman" w:hAnsi="Times New Roman"/>
          <w:sz w:val="18"/>
          <w:szCs w:val="18"/>
          <w:color w:val="auto"/>
        </w:rPr>
        <w:t>In 2025, our primary sources of cash included cash from operations and proceeds from dispositions and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issuances. Our primary uses of cash during the year consisted of capital expenditures, operating costs, investments in our joint ventures, debt repayments, share repurchases and distributions to equity holders. We anticipate that our sources and uses of cash will be similar in 2026.</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details our significant cash flows for the years ended December 31, 2025 and 2024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740" w:type="dxa"/>
            <w:vAlign w:val="bottom"/>
            <w:tcBorders>
              <w:bottom w:val="single" w:sz="8" w:color="CFF0FC"/>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1120" w:type="dxa"/>
            <w:vAlign w:val="bottom"/>
            <w:shd w:val="clear" w:color="auto" w:fill="CFF0FC"/>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29"/>
        </w:trPr>
        <w:tc>
          <w:tcPr>
            <w:tcW w:w="77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48"/>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1120" w:type="dxa"/>
            <w:vAlign w:val="bottom"/>
            <w:tcBorders>
              <w:bottom w:val="single" w:sz="8" w:color="auto"/>
            </w:tcBorders>
            <w:shd w:val="clear" w:color="auto" w:fill="CFF0FC"/>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0"/>
        </w:trPr>
        <w:tc>
          <w:tcPr>
            <w:tcW w:w="77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r>
      <w:tr>
        <w:trPr>
          <w:trHeight w:val="217"/>
        </w:trPr>
        <w:tc>
          <w:tcPr>
            <w:tcW w:w="7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activities</w:t>
            </w:r>
          </w:p>
        </w:tc>
        <w:tc>
          <w:tcPr>
            <w:tcW w:w="1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2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Investing activities</w:t>
            </w:r>
          </w:p>
        </w:tc>
        <w:tc>
          <w:tcPr>
            <w:tcW w:w="1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Acquisitions and investments</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Dispositions, including proceeds from loan receivable, and return of capital from investments</w:t>
            </w:r>
          </w:p>
        </w:tc>
        <w:tc>
          <w:tcPr>
            <w:tcW w:w="1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expenditures</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Financing activities</w:t>
            </w:r>
          </w:p>
        </w:tc>
        <w:tc>
          <w:tcPr>
            <w:tcW w:w="1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 senior notes</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Repurchase of senior notes</w:t>
            </w:r>
          </w:p>
        </w:tc>
        <w:tc>
          <w:tcPr>
            <w:tcW w:w="1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7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repurchase</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Host Inc.:</w:t>
            </w:r>
          </w:p>
        </w:tc>
        <w:tc>
          <w:tcPr>
            <w:tcW w:w="1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30"/>
        </w:trPr>
        <w:tc>
          <w:tcPr>
            <w:tcW w:w="7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30"/>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Host LP.:</w:t>
            </w:r>
          </w:p>
        </w:tc>
        <w:tc>
          <w:tcPr>
            <w:tcW w:w="1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34"/>
        </w:trPr>
        <w:tc>
          <w:tcPr>
            <w:tcW w:w="7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Distributions on common OP units</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r>
    </w:tbl>
    <w:p>
      <w:pPr>
        <w:spacing w:after="0" w:line="285"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Cash Provided by Operating Activities</w:t>
      </w:r>
      <w:r>
        <w:rPr>
          <w:rFonts w:ascii="Times New Roman" w:cs="Times New Roman" w:eastAsia="Times New Roman" w:hAnsi="Times New Roman"/>
          <w:sz w:val="18"/>
          <w:szCs w:val="18"/>
          <w:color w:val="auto"/>
        </w:rPr>
        <w:t>. Our net cash provided by operating activities for 2025 was $1,510 million, an increase of $12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2024, reflecting improvements in our hotel operations, partially offset by an increase in cash paid for interest.</w:t>
      </w:r>
    </w:p>
    <w:p>
      <w:pPr>
        <w:spacing w:after="0" w:line="15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Cash Used in Investing Activities</w:t>
      </w:r>
      <w:r>
        <w:rPr>
          <w:rFonts w:ascii="Times New Roman" w:cs="Times New Roman" w:eastAsia="Times New Roman" w:hAnsi="Times New Roman"/>
          <w:sz w:val="18"/>
          <w:szCs w:val="18"/>
          <w:color w:val="auto"/>
        </w:rPr>
        <w:t>. Approximately $507 million of cash was used in investing activities during 2025 compared to $2,040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decrease is due to the significant acquisition activity in 2024 compared to disposition activity and the receipt of a note in 2025, as detailed in the charts below. Additionally, cash used in investing activities included $644 million of capital expenditures in 2025, compared to $548 million in 2024. These amounts include certain internal costs and interest expense associated with our capital expenditures projects that have been capitalized in accordance with GAAP. These capitalized costs were $28 million, $18 million and $24 million for 2025, 2024 and 2023,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summarize significant acquisitions, dispositions and investments in affiliates from January 1, 2024 through February 20, 2026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Transaction Date</w:t>
            </w: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32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Description of Transaction</w:t>
            </w:r>
          </w:p>
        </w:tc>
        <w:tc>
          <w:tcPr>
            <w:tcW w:w="320" w:type="dxa"/>
            <w:vAlign w:val="bottom"/>
          </w:tcPr>
          <w:p>
            <w:pPr>
              <w:spacing w:after="0"/>
              <w:rPr>
                <w:sz w:val="16"/>
                <w:szCs w:val="16"/>
                <w:color w:val="auto"/>
              </w:rPr>
            </w:pPr>
          </w:p>
        </w:tc>
        <w:tc>
          <w:tcPr>
            <w:tcW w:w="13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Investment</w:t>
            </w:r>
          </w:p>
        </w:tc>
      </w:tr>
      <w:tr>
        <w:trPr>
          <w:trHeight w:val="23"/>
        </w:trPr>
        <w:tc>
          <w:tcPr>
            <w:tcW w:w="2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Acquisitions/Investments</w:t>
            </w:r>
          </w:p>
        </w:tc>
        <w:tc>
          <w:tcPr>
            <w:tcW w:w="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 December</w:t>
            </w:r>
          </w:p>
        </w:tc>
        <w:tc>
          <w:tcPr>
            <w:tcW w:w="7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6700" w:type="dxa"/>
            <w:vAlign w:val="bottom"/>
            <w:gridSpan w:val="3"/>
            <w:shd w:val="clear" w:color="auto" w:fill="CFF0FC"/>
          </w:tcPr>
          <w:p>
            <w:pPr>
              <w:ind w:left="180"/>
              <w:spacing w:after="0" w:line="207" w:lineRule="exact"/>
              <w:rPr>
                <w:sz w:val="20"/>
                <w:szCs w:val="20"/>
                <w:color w:val="auto"/>
              </w:rPr>
            </w:pPr>
            <w:r>
              <w:rPr>
                <w:rFonts w:ascii="Times New Roman" w:cs="Times New Roman" w:eastAsia="Times New Roman" w:hAnsi="Times New Roman"/>
                <w:sz w:val="18"/>
                <w:szCs w:val="18"/>
                <w:color w:val="auto"/>
              </w:rPr>
              <w:t>Investment in Noble JV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 December</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6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Investment in Noble JV</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July</w:t>
            </w:r>
          </w:p>
        </w:tc>
        <w:tc>
          <w:tcPr>
            <w:tcW w:w="7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6700" w:type="dxa"/>
            <w:vAlign w:val="bottom"/>
            <w:gridSpan w:val="3"/>
            <w:shd w:val="clear" w:color="auto" w:fill="CFF0FC"/>
          </w:tcPr>
          <w:p>
            <w:pPr>
              <w:ind w:left="180"/>
              <w:spacing w:after="0" w:line="207" w:lineRule="exact"/>
              <w:rPr>
                <w:sz w:val="20"/>
                <w:szCs w:val="20"/>
                <w:color w:val="auto"/>
              </w:rPr>
            </w:pPr>
            <w:r>
              <w:rPr>
                <w:rFonts w:ascii="Times New Roman" w:cs="Times New Roman" w:eastAsia="Times New Roman" w:hAnsi="Times New Roman"/>
                <w:sz w:val="18"/>
                <w:szCs w:val="18"/>
                <w:color w:val="auto"/>
              </w:rPr>
              <w:t>Acquisition of The Ritz-Carlton O'ahu, Turtle Bay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29"/>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1</w:t>
            </w: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Hotel Central Park</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9"/>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w:t>
            </w:r>
          </w:p>
        </w:tc>
        <w:tc>
          <w:tcPr>
            <w:tcW w:w="7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Acquisition of 1</w:t>
            </w:r>
          </w:p>
        </w:tc>
        <w:tc>
          <w:tcPr>
            <w:tcW w:w="5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Hotel Nashville and Embassy Suites by Hilton Nashville Downtown</w:t>
            </w:r>
          </w:p>
        </w:tc>
        <w:tc>
          <w:tcPr>
            <w:tcW w:w="3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23"/>
        </w:trPr>
        <w:tc>
          <w:tcPr>
            <w:tcW w:w="2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7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Total acquisitions/investments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0"/>
        </w:trPr>
        <w:tc>
          <w:tcPr>
            <w:tcW w:w="2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17" w:lineRule="exact"/>
        <w:rPr>
          <w:sz w:val="20"/>
          <w:szCs w:val="20"/>
          <w:color w:val="auto"/>
        </w:rPr>
      </w:pPr>
    </w:p>
    <w:p>
      <w:pPr>
        <w:ind w:left="420" w:right="60" w:hanging="412"/>
        <w:spacing w:after="0" w:line="259" w:lineRule="auto"/>
        <w:tabs>
          <w:tab w:leader="none" w:pos="41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an additional payment of $26 million to the Noble Group, through a combination of cash and OP units, upon reaching certain milestones. This amount was outside of our capital commitment.</w:t>
      </w:r>
    </w:p>
    <w:p>
      <w:pPr>
        <w:jc w:val="both"/>
        <w:ind w:left="420" w:right="120" w:hanging="412"/>
        <w:spacing w:after="0" w:line="283" w:lineRule="auto"/>
        <w:tabs>
          <w:tab w:leader="none" w:pos="41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amount represents a sales price of $725 million net of $45 million of key money received from Marriott International in connection with the conversion of the property to The Ritz-Carlton brand and includes the acquisition of a 49-acre land parcel entitled for development. Investment amount also includes the assumption of $15 million of hotel-level liabilities.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9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Transaction Date</w:t>
            </w:r>
          </w:p>
        </w:tc>
        <w:tc>
          <w:tcPr>
            <w:tcW w:w="620" w:type="dxa"/>
            <w:vAlign w:val="bottom"/>
            <w:tcBorders>
              <w:bottom w:val="single" w:sz="8" w:color="auto"/>
            </w:tcBorders>
          </w:tcPr>
          <w:p>
            <w:pPr>
              <w:spacing w:after="0"/>
              <w:rPr>
                <w:sz w:val="21"/>
                <w:szCs w:val="21"/>
                <w:color w:val="auto"/>
              </w:rPr>
            </w:pPr>
          </w:p>
        </w:tc>
        <w:tc>
          <w:tcPr>
            <w:tcW w:w="604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Description of Transaction</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2"/>
              <w:spacing w:after="0" w:line="161" w:lineRule="exact"/>
              <w:rPr>
                <w:sz w:val="20"/>
                <w:szCs w:val="20"/>
                <w:color w:val="auto"/>
              </w:rPr>
            </w:pPr>
            <w:r>
              <w:rPr>
                <w:rFonts w:ascii="Times New Roman" w:cs="Times New Roman" w:eastAsia="Times New Roman" w:hAnsi="Times New Roman"/>
                <w:sz w:val="14"/>
                <w:szCs w:val="14"/>
                <w:b w:val="1"/>
                <w:bCs w:val="1"/>
                <w:color w:val="auto"/>
              </w:rPr>
              <w:t>Net Proceeds</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¹</w:t>
            </w:r>
            <w:r>
              <w:rPr>
                <w:rFonts w:ascii="MS PGothic" w:cs="MS PGothic" w:eastAsia="MS PGothic" w:hAnsi="MS PGothic"/>
                <w:sz w:val="14"/>
                <w:szCs w:val="14"/>
                <w:color w:val="auto"/>
              </w:rPr>
              <w:t>⁾</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Sales Price</w:t>
            </w:r>
          </w:p>
        </w:tc>
      </w:tr>
      <w:tr>
        <w:trPr>
          <w:trHeight w:val="244"/>
        </w:trPr>
        <w:tc>
          <w:tcPr>
            <w:tcW w:w="86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Dispositions/Return of Investments in Affiliates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196"/>
        </w:trPr>
        <w:tc>
          <w:tcPr>
            <w:tcW w:w="1900" w:type="dxa"/>
            <w:vAlign w:val="bottom"/>
            <w:shd w:val="clear" w:color="auto" w:fill="CFF0FC"/>
          </w:tcPr>
          <w:p>
            <w:pPr>
              <w:ind w:left="20"/>
              <w:spacing w:after="0" w:line="195" w:lineRule="exact"/>
              <w:rPr>
                <w:sz w:val="20"/>
                <w:szCs w:val="20"/>
                <w:color w:val="auto"/>
              </w:rPr>
            </w:pPr>
            <w:r>
              <w:rPr>
                <w:rFonts w:ascii="Times New Roman" w:cs="Times New Roman" w:eastAsia="Times New Roman" w:hAnsi="Times New Roman"/>
                <w:sz w:val="18"/>
                <w:szCs w:val="18"/>
                <w:color w:val="auto"/>
              </w:rPr>
              <w:t>February</w:t>
            </w:r>
          </w:p>
        </w:tc>
        <w:tc>
          <w:tcPr>
            <w:tcW w:w="620" w:type="dxa"/>
            <w:vAlign w:val="bottom"/>
            <w:shd w:val="clear" w:color="auto" w:fill="CFF0FC"/>
          </w:tcPr>
          <w:p>
            <w:pPr>
              <w:jc w:val="right"/>
              <w:ind w:right="110"/>
              <w:spacing w:after="0" w:line="195" w:lineRule="exact"/>
              <w:rPr>
                <w:sz w:val="20"/>
                <w:szCs w:val="20"/>
                <w:color w:val="auto"/>
              </w:rPr>
            </w:pPr>
            <w:r>
              <w:rPr>
                <w:rFonts w:ascii="Times New Roman" w:cs="Times New Roman" w:eastAsia="Times New Roman" w:hAnsi="Times New Roman"/>
                <w:sz w:val="18"/>
                <w:szCs w:val="18"/>
                <w:color w:val="auto"/>
              </w:rPr>
              <w:t>2026</w:t>
            </w:r>
          </w:p>
        </w:tc>
        <w:tc>
          <w:tcPr>
            <w:tcW w:w="6140" w:type="dxa"/>
            <w:vAlign w:val="bottom"/>
            <w:gridSpan w:val="2"/>
            <w:shd w:val="clear" w:color="auto" w:fill="CFF0FC"/>
          </w:tcPr>
          <w:p>
            <w:pPr>
              <w:ind w:left="180"/>
              <w:spacing w:after="0" w:line="195" w:lineRule="exact"/>
              <w:rPr>
                <w:sz w:val="20"/>
                <w:szCs w:val="20"/>
                <w:color w:val="auto"/>
              </w:rPr>
            </w:pPr>
            <w:r>
              <w:rPr>
                <w:rFonts w:ascii="Times New Roman" w:cs="Times New Roman" w:eastAsia="Times New Roman" w:hAnsi="Times New Roman"/>
                <w:sz w:val="18"/>
                <w:szCs w:val="18"/>
                <w:color w:val="auto"/>
              </w:rPr>
              <w:t>Disposition of Four Seasons Resort and Residences Jackson Hole &amp; Four</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70"/>
        </w:trPr>
        <w:tc>
          <w:tcPr>
            <w:tcW w:w="1900" w:type="dxa"/>
            <w:vAlign w:val="bottom"/>
            <w:shd w:val="clear" w:color="auto" w:fill="CFF0FC"/>
          </w:tcPr>
          <w:p>
            <w:pPr>
              <w:spacing w:after="0"/>
              <w:rPr>
                <w:sz w:val="23"/>
                <w:szCs w:val="23"/>
                <w:color w:val="auto"/>
              </w:rPr>
            </w:pPr>
          </w:p>
        </w:tc>
        <w:tc>
          <w:tcPr>
            <w:tcW w:w="620" w:type="dxa"/>
            <w:vAlign w:val="bottom"/>
            <w:shd w:val="clear" w:color="auto" w:fill="CFF0FC"/>
          </w:tcPr>
          <w:p>
            <w:pPr>
              <w:spacing w:after="0"/>
              <w:rPr>
                <w:sz w:val="23"/>
                <w:szCs w:val="23"/>
                <w:color w:val="auto"/>
              </w:rPr>
            </w:pPr>
          </w:p>
        </w:tc>
        <w:tc>
          <w:tcPr>
            <w:tcW w:w="6140" w:type="dxa"/>
            <w:vAlign w:val="bottom"/>
            <w:gridSpan w:val="2"/>
            <w:shd w:val="clear" w:color="auto" w:fill="CFF0FC"/>
          </w:tcPr>
          <w:p>
            <w:pPr>
              <w:ind w:left="420"/>
              <w:spacing w:after="0" w:line="207" w:lineRule="exact"/>
              <w:rPr>
                <w:sz w:val="20"/>
                <w:szCs w:val="20"/>
                <w:color w:val="auto"/>
              </w:rPr>
            </w:pPr>
            <w:r>
              <w:rPr>
                <w:rFonts w:ascii="Times New Roman" w:cs="Times New Roman" w:eastAsia="Times New Roman" w:hAnsi="Times New Roman"/>
                <w:sz w:val="18"/>
                <w:szCs w:val="18"/>
                <w:color w:val="auto"/>
              </w:rPr>
              <w:t>Seasons Resort Orlando at Walt Disney World® Resort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50"/>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2026</w:t>
            </w:r>
          </w:p>
        </w:tc>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Disposition of The St. Regis Houston</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63"/>
        </w:trPr>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w:t>
            </w:r>
          </w:p>
        </w:tc>
        <w:tc>
          <w:tcPr>
            <w:tcW w:w="6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6140" w:type="dxa"/>
            <w:vAlign w:val="bottom"/>
            <w:gridSpan w:val="2"/>
            <w:shd w:val="clear" w:color="auto" w:fill="CFF0FC"/>
          </w:tcPr>
          <w:p>
            <w:pPr>
              <w:ind w:left="180"/>
              <w:spacing w:after="0" w:line="207" w:lineRule="exact"/>
              <w:rPr>
                <w:sz w:val="20"/>
                <w:szCs w:val="20"/>
                <w:color w:val="auto"/>
              </w:rPr>
            </w:pPr>
            <w:r>
              <w:rPr>
                <w:rFonts w:ascii="Times New Roman" w:cs="Times New Roman" w:eastAsia="Times New Roman" w:hAnsi="Times New Roman"/>
                <w:sz w:val="18"/>
                <w:szCs w:val="18"/>
                <w:color w:val="auto"/>
              </w:rPr>
              <w:t>Disposition of Asia/Pacific joint venture's interest in the India JV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³</w:t>
            </w:r>
            <w:r>
              <w:rPr>
                <w:rFonts w:ascii="MS PGothic" w:cs="MS PGothic" w:eastAsia="MS PGothic" w:hAnsi="MS PGothic"/>
                <w:sz w:val="18"/>
                <w:szCs w:val="18"/>
                <w:color w:val="auto"/>
              </w:rPr>
              <w:t>⁾</w:t>
            </w: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7"/>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614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Disposition of Washington Marriott at Metro Center</w:t>
            </w:r>
            <w:r>
              <w:rPr>
                <w:rFonts w:ascii="MS PGothic" w:cs="MS PGothic" w:eastAsia="MS PGothic" w:hAnsi="MS PGothic"/>
                <w:sz w:val="18"/>
                <w:szCs w:val="18"/>
                <w:color w:val="auto"/>
              </w:rPr>
              <w:t>⁽⁴⁾</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57"/>
        </w:trPr>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June</w:t>
            </w:r>
          </w:p>
        </w:tc>
        <w:tc>
          <w:tcPr>
            <w:tcW w:w="6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61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Disposition of The Westin Cincinnati</w:t>
            </w: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6"/>
        </w:trPr>
        <w:tc>
          <w:tcPr>
            <w:tcW w:w="19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February</w:t>
            </w:r>
          </w:p>
        </w:tc>
        <w:tc>
          <w:tcPr>
            <w:tcW w:w="620" w:type="dxa"/>
            <w:vAlign w:val="bottom"/>
            <w:tcBorders>
              <w:bottom w:val="single" w:sz="8" w:color="CFF0FC"/>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6140" w:type="dxa"/>
            <w:vAlign w:val="bottom"/>
            <w:tcBorders>
              <w:bottom w:val="single" w:sz="8" w:color="CFF0FC"/>
            </w:tcBorders>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Receipt of The Camby, Autograph Collection note receivable</w:t>
            </w:r>
            <w:r>
              <w:rPr>
                <w:rFonts w:ascii="MS PGothic" w:cs="MS PGothic" w:eastAsia="MS PGothic" w:hAnsi="MS PGothic"/>
                <w:sz w:val="18"/>
                <w:szCs w:val="18"/>
                <w:color w:val="auto"/>
              </w:rPr>
              <w:t>⁽⁵⁾</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190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spacing w:after="0"/>
              <w:rPr>
                <w:sz w:val="23"/>
                <w:szCs w:val="23"/>
                <w:color w:val="auto"/>
              </w:rPr>
            </w:pPr>
          </w:p>
        </w:tc>
        <w:tc>
          <w:tcPr>
            <w:tcW w:w="61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dispositions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0"/>
        </w:trPr>
        <w:tc>
          <w:tcPr>
            <w:tcW w:w="19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60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6101080</wp:posOffset>
            </wp:positionH>
            <wp:positionV relativeFrom="paragraph">
              <wp:posOffset>-1610360</wp:posOffset>
            </wp:positionV>
            <wp:extent cx="94615" cy="749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4615" cy="7493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17" w:lineRule="exact"/>
        <w:rPr>
          <w:sz w:val="20"/>
          <w:szCs w:val="20"/>
          <w:color w:val="auto"/>
        </w:rPr>
      </w:pPr>
    </w:p>
    <w:p>
      <w:pPr>
        <w:ind w:left="400" w:hanging="392"/>
        <w:spacing w:after="0"/>
        <w:tabs>
          <w:tab w:leader="none" w:pos="4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Proceeds are net of transfer taxes, other sales costs and FF&amp;E replacement funds retained at the property or deposited directly to the property or hotel manager by the purchaser.</w:t>
      </w:r>
    </w:p>
    <w:p>
      <w:pPr>
        <w:spacing w:after="0" w:line="11"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related to the sale of the two Four Seasons properties are an estimate as proration amounts have not been finalized.</w:t>
      </w:r>
    </w:p>
    <w:p>
      <w:pPr>
        <w:spacing w:after="0" w:line="14" w:lineRule="exact"/>
        <w:rPr>
          <w:rFonts w:ascii="Times New Roman" w:cs="Times New Roman" w:eastAsia="Times New Roman" w:hAnsi="Times New Roman"/>
          <w:sz w:val="14"/>
          <w:szCs w:val="14"/>
          <w:color w:val="auto"/>
        </w:rPr>
      </w:pPr>
    </w:p>
    <w:p>
      <w:pPr>
        <w:ind w:left="420" w:right="300" w:hanging="412"/>
        <w:spacing w:after="0" w:line="261" w:lineRule="auto"/>
        <w:tabs>
          <w:tab w:leader="none" w:pos="41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Host's portion to be received from the Asia/Pacific joint venture's sale of a 36% share in seven hotels and an office building in India for approximately INR 6.2 billion ($70 million).</w:t>
      </w:r>
    </w:p>
    <w:p>
      <w:pPr>
        <w:ind w:left="420" w:right="140" w:hanging="412"/>
        <w:spacing w:after="0" w:line="251" w:lineRule="auto"/>
        <w:tabs>
          <w:tab w:leader="none" w:pos="41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sale of Washington Marriott at Metro Center, we issued a loan to the purchaser with a principal balance of $114 million. The disposition proceeds shown are net of the loan and $2 million of FF&amp;E funds retained by us.</w:t>
      </w:r>
    </w:p>
    <w:p>
      <w:pPr>
        <w:ind w:left="400" w:hanging="392"/>
        <w:spacing w:after="0"/>
        <w:tabs>
          <w:tab w:leader="none" w:pos="4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sale of The Camby, Autograph Collection, we issued an initial $72 million loan to the purchaser. The loan was repaid in February 2025.</w:t>
      </w:r>
    </w:p>
    <w:p>
      <w:pPr>
        <w:spacing w:after="0" w:line="22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Cash Used in Financing Activities</w:t>
      </w:r>
      <w:r>
        <w:rPr>
          <w:rFonts w:ascii="Times New Roman" w:cs="Times New Roman" w:eastAsia="Times New Roman" w:hAnsi="Times New Roman"/>
          <w:sz w:val="18"/>
          <w:szCs w:val="18"/>
          <w:color w:val="auto"/>
        </w:rPr>
        <w:t>. Net cash used in financing activities was $868 million for 2025, compared to $13 million in 2024. Cash used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activities in both 2025 and 2024 included refinancing of senior notes and the payment of common stock dividends and common stock repurchases, though in 2024 payments were mostly offset by a net issuance of senior notes of $867 million.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significant debt issuances, net of deferred financing costs and issuance discounts, that have been completed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2024 through February 20, 2026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Transaction Date</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 of Transaction</w:t>
            </w:r>
          </w:p>
        </w:tc>
        <w:tc>
          <w:tcPr>
            <w:tcW w:w="280" w:type="dxa"/>
            <w:vAlign w:val="bottom"/>
          </w:tcPr>
          <w:p>
            <w:pPr>
              <w:spacing w:after="0"/>
              <w:rPr>
                <w:sz w:val="16"/>
                <w:szCs w:val="16"/>
                <w:color w:val="auto"/>
              </w:rPr>
            </w:pPr>
          </w:p>
        </w:tc>
        <w:tc>
          <w:tcPr>
            <w:tcW w:w="14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 Proceeds</w:t>
            </w:r>
          </w:p>
        </w:tc>
      </w:tr>
      <w:tr>
        <w:trPr>
          <w:trHeight w:val="23"/>
        </w:trPr>
        <w:tc>
          <w:tcPr>
            <w:tcW w:w="2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Debt Issuances</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63"/>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November</w:t>
            </w:r>
          </w:p>
        </w:tc>
        <w:tc>
          <w:tcPr>
            <w:tcW w:w="7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FF0FC"/>
          </w:tcPr>
          <w:p>
            <w:pPr>
              <w:spacing w:after="0"/>
              <w:rPr>
                <w:sz w:val="22"/>
                <w:szCs w:val="22"/>
                <w:color w:val="auto"/>
              </w:rPr>
            </w:pPr>
          </w:p>
        </w:tc>
        <w:tc>
          <w:tcPr>
            <w:tcW w:w="6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$400 million 4.25% Series N senior notes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57"/>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2"/>
                <w:szCs w:val="22"/>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Issuance of $500 million 5.7%</w:t>
            </w:r>
          </w:p>
        </w:tc>
        <w:tc>
          <w:tcPr>
            <w:tcW w:w="4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Series M senior notes</w:t>
            </w:r>
          </w:p>
        </w:tc>
        <w:tc>
          <w:tcPr>
            <w:tcW w:w="2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9"/>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August</w:t>
            </w:r>
          </w:p>
        </w:tc>
        <w:tc>
          <w:tcPr>
            <w:tcW w:w="7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FF0FC"/>
          </w:tcPr>
          <w:p>
            <w:pPr>
              <w:spacing w:after="0"/>
              <w:rPr>
                <w:sz w:val="19"/>
                <w:szCs w:val="19"/>
                <w:color w:val="auto"/>
              </w:rPr>
            </w:pPr>
          </w:p>
        </w:tc>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Issuance of $700 million 5.5%</w:t>
            </w:r>
          </w:p>
        </w:tc>
        <w:tc>
          <w:tcPr>
            <w:tcW w:w="43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Series L senior notes</w:t>
            </w: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29"/>
        </w:trPr>
        <w:tc>
          <w:tcPr>
            <w:tcW w:w="21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May</w:t>
            </w:r>
          </w:p>
        </w:tc>
        <w:tc>
          <w:tcPr>
            <w:tcW w:w="780" w:type="dxa"/>
            <w:vAlign w:val="bottom"/>
            <w:tcBorders>
              <w:bottom w:val="single" w:sz="8" w:color="CFF0FC"/>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FF0FC"/>
            </w:tcBorders>
          </w:tcPr>
          <w:p>
            <w:pPr>
              <w:spacing w:after="0"/>
              <w:rPr>
                <w:sz w:val="19"/>
                <w:szCs w:val="19"/>
                <w:color w:val="auto"/>
              </w:rPr>
            </w:pPr>
          </w:p>
        </w:tc>
        <w:tc>
          <w:tcPr>
            <w:tcW w:w="22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w w:val="99"/>
              </w:rPr>
              <w:t>Issuance of $600 million 5.7%</w:t>
            </w:r>
          </w:p>
        </w:tc>
        <w:tc>
          <w:tcPr>
            <w:tcW w:w="4300" w:type="dxa"/>
            <w:vAlign w:val="bottom"/>
            <w:tcBorders>
              <w:bottom w:val="single" w:sz="8" w:color="CFF0FC"/>
            </w:tcBorders>
            <w:gridSpan w:val="2"/>
          </w:tcPr>
          <w:p>
            <w:pPr>
              <w:ind w:left="40"/>
              <w:spacing w:after="0"/>
              <w:rPr>
                <w:sz w:val="20"/>
                <w:szCs w:val="20"/>
                <w:color w:val="auto"/>
              </w:rPr>
            </w:pPr>
            <w:r>
              <w:rPr>
                <w:rFonts w:ascii="Times New Roman" w:cs="Times New Roman" w:eastAsia="Times New Roman" w:hAnsi="Times New Roman"/>
                <w:sz w:val="18"/>
                <w:szCs w:val="18"/>
                <w:color w:val="auto"/>
              </w:rPr>
              <w:t>Series K senior notes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48"/>
        </w:trPr>
        <w:tc>
          <w:tcPr>
            <w:tcW w:w="21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2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issuances</w:t>
            </w:r>
          </w:p>
        </w:tc>
        <w:tc>
          <w:tcPr>
            <w:tcW w:w="4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w:t>
            </w: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40" w:type="dxa"/>
            <w:vAlign w:val="bottom"/>
            <w:tcBorders>
              <w:top w:val="single" w:sz="8" w:color="CFF0FC"/>
            </w:tcBorders>
          </w:tcPr>
          <w:p>
            <w:pPr>
              <w:spacing w:after="0" w:line="20" w:lineRule="exact"/>
              <w:rPr>
                <w:sz w:val="1"/>
                <w:szCs w:val="1"/>
                <w:color w:val="auto"/>
              </w:rPr>
            </w:pPr>
          </w:p>
        </w:tc>
        <w:tc>
          <w:tcPr>
            <w:tcW w:w="4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significant debt repayments, including prepayment premiums, that have been completed from January 1, 2024 through February 20, 2026 (in millions):</w:t>
      </w:r>
    </w:p>
    <w:p>
      <w:pPr>
        <w:sectPr>
          <w:pgSz w:w="11900" w:h="16838" w:orient="portrait"/>
          <w:cols w:equalWidth="0" w:num="1">
            <w:col w:w="11240"/>
          </w:cols>
          <w:pgMar w:left="320" w:top="121" w:right="339" w:bottom="1440" w:gutter="0" w:footer="0" w:header="0"/>
        </w:sect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Transaction Date</w:t>
            </w:r>
          </w:p>
        </w:tc>
        <w:tc>
          <w:tcPr>
            <w:tcW w:w="780" w:type="dxa"/>
            <w:vAlign w:val="bottom"/>
          </w:tcPr>
          <w:p>
            <w:pPr>
              <w:spacing w:after="0"/>
              <w:rPr>
                <w:sz w:val="16"/>
                <w:szCs w:val="16"/>
                <w:color w:val="auto"/>
              </w:rPr>
            </w:pPr>
          </w:p>
        </w:tc>
      </w:tr>
      <w:tr>
        <w:trPr>
          <w:trHeight w:val="23"/>
        </w:trPr>
        <w:tc>
          <w:tcPr>
            <w:tcW w:w="2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Debt Repayments</w:t>
            </w:r>
          </w:p>
        </w:tc>
        <w:tc>
          <w:tcPr>
            <w:tcW w:w="780" w:type="dxa"/>
            <w:vAlign w:val="bottom"/>
          </w:tcPr>
          <w:p>
            <w:pPr>
              <w:spacing w:after="0"/>
              <w:rPr>
                <w:sz w:val="20"/>
                <w:szCs w:val="20"/>
                <w:color w:val="auto"/>
              </w:rPr>
            </w:pPr>
          </w:p>
        </w:tc>
      </w:tr>
      <w:tr>
        <w:trPr>
          <w:trHeight w:val="257"/>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r>
      <w:tr>
        <w:trPr>
          <w:trHeight w:val="257"/>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r>
      <w:tr>
        <w:trPr>
          <w:trHeight w:val="24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r>
    </w:tbl>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540" w:type="dxa"/>
            <w:vAlign w:val="bottom"/>
            <w:gridSpan w:val="2"/>
          </w:tcPr>
          <w:p>
            <w:pPr>
              <w:ind w:left="2400"/>
              <w:spacing w:after="0"/>
              <w:rPr>
                <w:sz w:val="20"/>
                <w:szCs w:val="20"/>
                <w:color w:val="auto"/>
              </w:rPr>
            </w:pPr>
            <w:r>
              <w:rPr>
                <w:rFonts w:ascii="Times New Roman" w:cs="Times New Roman" w:eastAsia="Times New Roman" w:hAnsi="Times New Roman"/>
                <w:sz w:val="14"/>
                <w:szCs w:val="14"/>
                <w:b w:val="1"/>
                <w:bCs w:val="1"/>
                <w:color w:val="auto"/>
              </w:rPr>
              <w:t>Description of Transaction</w:t>
            </w:r>
          </w:p>
        </w:tc>
        <w:tc>
          <w:tcPr>
            <w:tcW w:w="160" w:type="dxa"/>
            <w:vAlign w:val="bottom"/>
          </w:tcPr>
          <w:p>
            <w:pPr>
              <w:spacing w:after="0"/>
              <w:rPr>
                <w:sz w:val="16"/>
                <w:szCs w:val="16"/>
                <w:color w:val="auto"/>
              </w:rPr>
            </w:pP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Transaction Amount</w:t>
            </w:r>
          </w:p>
        </w:tc>
      </w:tr>
      <w:tr>
        <w:trPr>
          <w:trHeight w:val="23"/>
        </w:trPr>
        <w:tc>
          <w:tcPr>
            <w:tcW w:w="6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507"/>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 of $400 million 4½% Series F senior notes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52"/>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 of $500 million 4% Series E senior notes</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4"/>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 of $400 million 3 ⅞% Series G senior notes</w:t>
            </w: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3"/>
        </w:trPr>
        <w:tc>
          <w:tcPr>
            <w:tcW w:w="6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cash repayments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-659765</wp:posOffset>
            </wp:positionV>
            <wp:extent cx="713232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-334010</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80"/>
            <w:col w:w="8240"/>
          </w:cols>
          <w:pgMar w:left="320" w:top="121" w:right="339" w:bottom="1440" w:gutter="0" w:footer="0" w:header="0"/>
          <w:type w:val="continuous"/>
        </w:sectPr>
      </w:pPr>
    </w:p>
    <w:p>
      <w:pPr>
        <w:spacing w:after="0" w:line="75"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Equity/Capital Transactions. </w:t>
      </w:r>
      <w:r>
        <w:rPr>
          <w:rFonts w:ascii="Times New Roman" w:cs="Times New Roman" w:eastAsia="Times New Roman" w:hAnsi="Times New Roman"/>
          <w:sz w:val="18"/>
          <w:szCs w:val="18"/>
          <w:color w:val="auto"/>
        </w:rPr>
        <w:t>The following table summarizes significant equity transactions that have been completed from January 1,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February 20, 2026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Transaction Date</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40" w:type="dxa"/>
            <w:vAlign w:val="bottom"/>
            <w:gridSpan w:val="2"/>
          </w:tcPr>
          <w:p>
            <w:pPr>
              <w:ind w:left="2400"/>
              <w:spacing w:after="0"/>
              <w:rPr>
                <w:sz w:val="20"/>
                <w:szCs w:val="20"/>
                <w:color w:val="auto"/>
              </w:rPr>
            </w:pPr>
            <w:r>
              <w:rPr>
                <w:rFonts w:ascii="Times New Roman" w:cs="Times New Roman" w:eastAsia="Times New Roman" w:hAnsi="Times New Roman"/>
                <w:sz w:val="14"/>
                <w:szCs w:val="14"/>
                <w:b w:val="1"/>
                <w:bCs w:val="1"/>
                <w:color w:val="auto"/>
              </w:rPr>
              <w:t>Description of Transaction</w:t>
            </w:r>
          </w:p>
        </w:tc>
        <w:tc>
          <w:tcPr>
            <w:tcW w:w="160" w:type="dxa"/>
            <w:vAlign w:val="bottom"/>
          </w:tcPr>
          <w:p>
            <w:pPr>
              <w:spacing w:after="0"/>
              <w:rPr>
                <w:sz w:val="16"/>
                <w:szCs w:val="16"/>
                <w:color w:val="auto"/>
              </w:rPr>
            </w:pPr>
          </w:p>
        </w:tc>
        <w:tc>
          <w:tcPr>
            <w:tcW w:w="15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Transaction Amount</w:t>
            </w:r>
          </w:p>
        </w:tc>
      </w:tr>
      <w:tr>
        <w:trPr>
          <w:trHeight w:val="23"/>
        </w:trPr>
        <w:tc>
          <w:tcPr>
            <w:tcW w:w="2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Equity of Host Inc.</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63"/>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w:t>
            </w:r>
          </w:p>
        </w:tc>
        <w:tc>
          <w:tcPr>
            <w:tcW w:w="7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CFF0FC"/>
          </w:tcPr>
          <w:p>
            <w:pPr>
              <w:spacing w:after="0"/>
              <w:rPr>
                <w:sz w:val="22"/>
                <w:szCs w:val="22"/>
                <w:color w:val="auto"/>
              </w:rPr>
            </w:pPr>
          </w:p>
        </w:tc>
        <w:tc>
          <w:tcPr>
            <w:tcW w:w="6540" w:type="dxa"/>
            <w:vAlign w:val="bottom"/>
            <w:gridSpan w:val="2"/>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Dividend payment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56"/>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 October</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2"/>
                <w:szCs w:val="22"/>
                <w:color w:val="auto"/>
              </w:rPr>
            </w:pPr>
          </w:p>
        </w:tc>
        <w:tc>
          <w:tcPr>
            <w:tcW w:w="65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Dividend payments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1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57"/>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 June</w:t>
            </w:r>
          </w:p>
        </w:tc>
        <w:tc>
          <w:tcPr>
            <w:tcW w:w="7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FF0FC"/>
          </w:tcPr>
          <w:p>
            <w:pPr>
              <w:spacing w:after="0"/>
              <w:rPr>
                <w:sz w:val="22"/>
                <w:szCs w:val="22"/>
                <w:color w:val="auto"/>
              </w:rPr>
            </w:pPr>
          </w:p>
        </w:tc>
        <w:tc>
          <w:tcPr>
            <w:tcW w:w="6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of 13.1 million shares of Host Inc. common stock</w:t>
            </w:r>
          </w:p>
        </w:tc>
        <w:tc>
          <w:tcPr>
            <w:tcW w:w="16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56"/>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 October</w:t>
            </w: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2"/>
                <w:szCs w:val="22"/>
                <w:color w:val="auto"/>
              </w:rPr>
            </w:pPr>
          </w:p>
        </w:tc>
        <w:tc>
          <w:tcPr>
            <w:tcW w:w="65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Dividend payments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1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50"/>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May - September</w:t>
            </w:r>
          </w:p>
        </w:tc>
        <w:tc>
          <w:tcPr>
            <w:tcW w:w="7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FF0FC"/>
          </w:tcPr>
          <w:p>
            <w:pPr>
              <w:spacing w:after="0"/>
              <w:rPr>
                <w:sz w:val="21"/>
                <w:szCs w:val="21"/>
                <w:color w:val="auto"/>
              </w:rPr>
            </w:pPr>
          </w:p>
        </w:tc>
        <w:tc>
          <w:tcPr>
            <w:tcW w:w="6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of 6.3 million shares of Host Inc. common stock</w:t>
            </w:r>
          </w:p>
        </w:tc>
        <w:tc>
          <w:tcPr>
            <w:tcW w:w="1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57"/>
        </w:trPr>
        <w:tc>
          <w:tcPr>
            <w:tcW w:w="2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payments on equity transactions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w:t>
            </w:r>
          </w:p>
        </w:tc>
      </w:tr>
      <w:tr>
        <w:trPr>
          <w:trHeight w:val="20"/>
        </w:trPr>
        <w:tc>
          <w:tcPr>
            <w:tcW w:w="2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27" w:lineRule="exact"/>
        <w:rPr>
          <w:sz w:val="20"/>
          <w:szCs w:val="20"/>
          <w:color w:val="auto"/>
        </w:rPr>
      </w:pPr>
    </w:p>
    <w:p>
      <w:pPr>
        <w:ind w:left="400" w:hanging="392"/>
        <w:spacing w:after="0"/>
        <w:tabs>
          <w:tab w:leader="none" w:pos="4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dividend payment for the fourth quarter of 2025 was made in January 2026, but was accrued at December 31, 2025.</w:t>
      </w:r>
    </w:p>
    <w:p>
      <w:pPr>
        <w:spacing w:after="0" w:line="14" w:lineRule="exact"/>
        <w:rPr>
          <w:rFonts w:ascii="Times New Roman" w:cs="Times New Roman" w:eastAsia="Times New Roman" w:hAnsi="Times New Roman"/>
          <w:sz w:val="14"/>
          <w:szCs w:val="14"/>
          <w:color w:val="auto"/>
        </w:rPr>
      </w:pPr>
    </w:p>
    <w:p>
      <w:pPr>
        <w:ind w:left="420" w:right="380" w:hanging="412"/>
        <w:spacing w:after="0" w:line="263" w:lineRule="auto"/>
        <w:tabs>
          <w:tab w:leader="none" w:pos="41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dividend payments, Host L.P. made distributions of $244 million, $631 million, and $748 million in 2026, 2025 and 2024, respectively, to its common OP unit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our total debt was approximately $5.1 billion, of which 80% carried a fixed rate of interest. Total debt was comprised of the following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0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00" w:type="dxa"/>
            <w:vAlign w:val="bottom"/>
          </w:tcPr>
          <w:p>
            <w:pPr>
              <w:spacing w:after="0"/>
              <w:rPr>
                <w:sz w:val="16"/>
                <w:szCs w:val="16"/>
                <w:color w:val="auto"/>
              </w:rPr>
            </w:pPr>
          </w:p>
        </w:tc>
      </w:tr>
      <w:tr>
        <w:trPr>
          <w:trHeight w:val="23"/>
        </w:trPr>
        <w:tc>
          <w:tcPr>
            <w:tcW w:w="84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6"/>
        </w:trPr>
        <w:tc>
          <w:tcPr>
            <w:tcW w:w="8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r>
      <w:tr>
        <w:trPr>
          <w:trHeight w:val="23"/>
        </w:trPr>
        <w:tc>
          <w:tcPr>
            <w:tcW w:w="842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E senior notes, with a rate of 4% due June 2025</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5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F senior notes, with a rate of 4½% due February 2026</w:t>
            </w:r>
          </w:p>
        </w:tc>
        <w:tc>
          <w:tcPr>
            <w:tcW w:w="82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63"/>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H senior notes, with a rate of 3⅜% due December 2029</w:t>
            </w:r>
          </w:p>
        </w:tc>
        <w:tc>
          <w:tcPr>
            <w:tcW w:w="8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5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I senior notes, with a rate of 3½% due September 2030</w:t>
            </w:r>
          </w:p>
        </w:tc>
        <w:tc>
          <w:tcPr>
            <w:tcW w:w="8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63"/>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J senior notes, with a rate of 2.9% due December 2031</w:t>
            </w:r>
          </w:p>
        </w:tc>
        <w:tc>
          <w:tcPr>
            <w:tcW w:w="8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5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K senior notes, with a rate of 5.7% due July 2034</w:t>
            </w:r>
          </w:p>
        </w:tc>
        <w:tc>
          <w:tcPr>
            <w:tcW w:w="8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63"/>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L senior notes, with a rate of 5.5% due April 2035</w:t>
            </w:r>
          </w:p>
        </w:tc>
        <w:tc>
          <w:tcPr>
            <w:tcW w:w="8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5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M senior notes, with a rate of 5.7% due June 2032</w:t>
            </w:r>
          </w:p>
        </w:tc>
        <w:tc>
          <w:tcPr>
            <w:tcW w:w="8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N senior notes, with a rate of 4.25% due December 2028</w:t>
            </w:r>
          </w:p>
        </w:tc>
        <w:tc>
          <w:tcPr>
            <w:tcW w:w="82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senior notes</w:t>
            </w:r>
          </w:p>
        </w:tc>
        <w:tc>
          <w:tcPr>
            <w:tcW w:w="8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3,993</w:t>
            </w:r>
          </w:p>
        </w:tc>
      </w:tr>
      <w:tr>
        <w:trPr>
          <w:trHeight w:val="263"/>
        </w:trPr>
        <w:tc>
          <w:tcPr>
            <w:tcW w:w="842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Credit facility revolver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8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 term loan due January 2027</w:t>
            </w:r>
          </w:p>
        </w:tc>
        <w:tc>
          <w:tcPr>
            <w:tcW w:w="8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63"/>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facility term loan due January 2028</w:t>
            </w:r>
          </w:p>
        </w:tc>
        <w:tc>
          <w:tcPr>
            <w:tcW w:w="8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11"/>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and other debt, with an average interest rate of 4.67% at both December 31, 2025 and 2024, maturing</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41"/>
        </w:trPr>
        <w:tc>
          <w:tcPr>
            <w:tcW w:w="84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through November 2027</w:t>
            </w:r>
          </w:p>
        </w:tc>
        <w:tc>
          <w:tcPr>
            <w:tcW w:w="8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82"/>
        </w:trPr>
        <w:tc>
          <w:tcPr>
            <w:tcW w:w="8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5,083</w:t>
            </w:r>
          </w:p>
        </w:tc>
      </w:tr>
      <w:tr>
        <w:trPr>
          <w:trHeight w:val="20"/>
        </w:trPr>
        <w:tc>
          <w:tcPr>
            <w:tcW w:w="84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17" w:lineRule="exact"/>
        <w:rPr>
          <w:sz w:val="20"/>
          <w:szCs w:val="20"/>
          <w:color w:val="auto"/>
        </w:rPr>
      </w:pPr>
    </w:p>
    <w:p>
      <w:pPr>
        <w:ind w:left="400" w:hanging="392"/>
        <w:spacing w:after="0"/>
        <w:tabs>
          <w:tab w:leader="none" w:pos="4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outstanding credit facility borrowings at December 31, 2025 or 2024. Amount shown represents deferred financing costs related to the credit facility revolver.</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debt maturities, including principal amortization, at December 31, 2025 are as follows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Senior notes and</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Mortgage and Other</w:t>
            </w:r>
          </w:p>
        </w:tc>
        <w:tc>
          <w:tcPr>
            <w:tcW w:w="320" w:type="dxa"/>
            <w:vAlign w:val="bottom"/>
          </w:tcPr>
          <w:p>
            <w:pPr>
              <w:spacing w:after="0"/>
              <w:rPr>
                <w:sz w:val="16"/>
                <w:szCs w:val="16"/>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69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credit facility</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63"/>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5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63"/>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5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57"/>
        </w:trPr>
        <w:tc>
          <w:tcPr>
            <w:tcW w:w="6960" w:type="dxa"/>
            <w:vAlign w:val="bottom"/>
            <w:tcBorders>
              <w:top w:val="single" w:sz="8" w:color="CFF0FC"/>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00" w:type="dxa"/>
            <w:vAlign w:val="bottom"/>
            <w:tcBorders>
              <w:top w:val="single" w:sz="8" w:color="CFF0FC"/>
            </w:tcBorders>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FF0FC"/>
            </w:tcBorders>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0" w:type="dxa"/>
            <w:vAlign w:val="bottom"/>
          </w:tcPr>
          <w:p>
            <w:pPr>
              <w:spacing w:after="0"/>
              <w:rPr>
                <w:sz w:val="1"/>
                <w:szCs w:val="1"/>
                <w:color w:val="auto"/>
              </w:rPr>
            </w:pPr>
          </w:p>
        </w:tc>
      </w:tr>
      <w:tr>
        <w:trPr>
          <w:trHeight w:val="25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(discounts) premiums, net</w:t>
            </w:r>
          </w:p>
        </w:tc>
        <w:tc>
          <w:tcPr>
            <w:tcW w:w="14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Senior Notes. </w:t>
      </w:r>
      <w:r>
        <w:rPr>
          <w:rFonts w:ascii="Times New Roman" w:cs="Times New Roman" w:eastAsia="Times New Roman" w:hAnsi="Times New Roman"/>
          <w:sz w:val="18"/>
          <w:szCs w:val="18"/>
          <w:color w:val="auto"/>
        </w:rPr>
        <w:t>On May 20, 2025, we issued $500 million of 5.7% Series M senior notes in an underwritten public offering for proceeds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$490 million, net of de minimis original issue discount, underwriting fees and other expenses. The Series M senior notes are due in June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2032, and interest is payable semi-annually in arrears on June 15 and December 15 of each year, commencing December 15, 2025. The net proceeds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used to redeem all $500 million of Series E senior notes due in June 2025. The Series M senior notes are not redeemable prior to 60 days before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2032 maturity date, except at a price equal to 100% of their principal amount plus a make-whole premium and accrued and unpaid interest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redemption date. The Series M senior notes have covenants similar to all other series of our outstanding senior notes.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On November 26, 2025, we issued $400 million of 4.25% Series N senior notes in an underwritten public offering for proceeds of approximately $395 million, net of de minimis original issue discount, underwriting fees and other expenses. The Series N senior notes are due in December 2028, and interest is payable semi-annually in arrears on June 15 and December 15 of each year, commencing June 15, 2026. The net proceeds were used to redeem all $400 million of Series F senior notes due in February 2026. The Series N senior notes are not redeemable prior to 30 days before the December 15,</w:t>
      </w:r>
    </w:p>
    <w:p>
      <w:pPr>
        <w:spacing w:after="0" w:line="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2028 maturity date, except at a price equal to 100% of their principal amount plus a make-whole premium and accrued and unpaid interest to the applicable redemption date. The Series N senior notes have covenants similar to all other series of our outstanding senior notes.</w:t>
      </w:r>
    </w:p>
    <w:p>
      <w:pPr>
        <w:spacing w:after="0" w:line="18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following summary is a description of the material provisions of the indenture governing the various senior notes issued by Host L.P. We pay interest on each series of our outstanding senior notes semi-annually in arrears at the respective annual rates indicated on the table above. Under the terms of our senior notes indenture, our senior notes are equal in right of payment with all of Host L.P.’s unsubordinated indebtedness and senior to all subordinated obligations of Host L.P. Currently there are no guarantees provided with respect to the senior notes, but we have agreed that all Host L.P. subsidiaries which guarantee other Host L.P. debt must similarly provide guarantees with respect to the senior notes.</w:t>
      </w:r>
    </w:p>
    <w:p>
      <w:pPr>
        <w:spacing w:after="0" w:line="183"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All of our outstanding senior notes at December 31, 2025 were issued after we attained an investment grade rating and have covenants customary for investment grade debt and covenants that are similar to each other series of our senior notes. These covenants are primarily limitations on our ability to incur additional debt. There are no restrictions on our ability to pay dividends.</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our senior notes, Host L.P.’s ability to incur debt is subject to restrictions and the satisfaction of various conditions, including the achievement of an EBITDA-to-interest coverage ratio of at least 1.5x by Host L.P. As calculated, this ratio excludes from interest expense items such as call premiums and deferred financing charges that are included in interest expense on Host L.P.’s audited consolidated statement of operations. In addition, the calculation is based on Host L.P.’s pro forma results for the four prior fiscal quarters, giving effect to certain transactions, such as acquisitions, dispositions and financings, as if they had occurred at the beginning of the period. Other covenants limiting Host L.P.’s ability to incur debt include maintaining total debt of less than 65% of adjusted total assets (using undepreciated real estate book values), maintaining secured debt of less than 40% of adjusted total assets (using undepreciated real estate book values) and maintaining total unencumbered assets of at least 150% of the aggregate principal amount of outstanding unsecured debt of Host L.P. and its subsidiaries. So long as Host L.P. maintains the required level of interest coverage and satisfies these and other conditions in the senior notes indenture, it may incur additional debt.</w:t>
      </w:r>
    </w:p>
    <w:p>
      <w:pPr>
        <w:spacing w:after="0" w:line="18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we have met the minimum financial covenant levels under our senior notes indentures. The following table summarizes the financial tests contained in the senior notes indenture for our senior notes and our actual credit ratios as of December 31,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Actual Ratio</w:t>
            </w:r>
          </w:p>
        </w:tc>
        <w:tc>
          <w:tcPr>
            <w:tcW w:w="410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Covenant Requirement</w:t>
            </w:r>
          </w:p>
        </w:tc>
      </w:tr>
      <w:tr>
        <w:trPr>
          <w:trHeight w:val="23"/>
        </w:trPr>
        <w:tc>
          <w:tcPr>
            <w:tcW w:w="5540" w:type="dxa"/>
            <w:vAlign w:val="bottom"/>
            <w:tcBorders>
              <w:bottom w:val="single" w:sz="8" w:color="CFF0FC"/>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50"/>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Unencumbered assets tests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FF0FC"/>
          </w:tcPr>
          <w:p>
            <w:pPr>
              <w:spacing w:after="0"/>
              <w:rPr>
                <w:sz w:val="21"/>
                <w:szCs w:val="21"/>
                <w:color w:val="auto"/>
              </w:rPr>
            </w:pPr>
          </w:p>
        </w:tc>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Minimum ratio of 150%</w:t>
            </w:r>
          </w:p>
        </w:tc>
      </w:tr>
      <w:tr>
        <w:trPr>
          <w:trHeight w:val="25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indebtedness to total assets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Maximum ratio of 65%</w:t>
            </w:r>
          </w:p>
        </w:tc>
      </w:tr>
      <w:tr>
        <w:trPr>
          <w:trHeight w:val="263"/>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Secured indebtedness to total assets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&lt;1%</w:t>
            </w:r>
          </w:p>
        </w:tc>
        <w:tc>
          <w:tcPr>
            <w:tcW w:w="80" w:type="dxa"/>
            <w:vAlign w:val="bottom"/>
            <w:shd w:val="clear" w:color="auto" w:fill="CFF0FC"/>
          </w:tcPr>
          <w:p>
            <w:pPr>
              <w:spacing w:after="0"/>
              <w:rPr>
                <w:sz w:val="22"/>
                <w:szCs w:val="22"/>
                <w:color w:val="auto"/>
              </w:rPr>
            </w:pPr>
          </w:p>
        </w:tc>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Maximum ratio of 40%</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EBITDA-to-interest coverage ratio</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7.1x</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ratio of 1.5x</w:t>
            </w:r>
          </w:p>
        </w:tc>
      </w:tr>
    </w:tbl>
    <w:p>
      <w:pPr>
        <w:spacing w:after="0" w:line="30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Facility. </w:t>
      </w:r>
      <w:r>
        <w:rPr>
          <w:rFonts w:ascii="Times New Roman" w:cs="Times New Roman" w:eastAsia="Times New Roman" w:hAnsi="Times New Roman"/>
          <w:sz w:val="18"/>
          <w:szCs w:val="18"/>
          <w:color w:val="auto"/>
        </w:rPr>
        <w:t>On January 4, 2023, we entered into the sixth amended and restated senior revolving credit and term loan facility, with Bank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 N.A., as administrative agent, Wells Fargo Bank, N.A. and JPMorgan Chase Bank, N.A. as co-syndication agents, and certain other agents and lenders. The credit facility allows for revolving borrowings in an aggregate principal amount of up to $1.5 billion. The revolver also includes a foreign currency subfacility for Canadian dollars, Australian dollars, Euros, British pounds sterling and, if available to the lenders, Mexican pesos, of up to the foreign currency equivalent of $500 million, subject to a lower amount in the case of Mexican peso borrowings. The credit facility also provides for a term loan facility of $1 billion (which is fully utilized), a subfacility of up to $100 million for swingline borrowings in currencies other than U.S. dollars and a subfacility of up to $100 million for issuances of letters of credit. Host L.P. also has the option to add in the future $500 million of commitments which may be used for additional revolving credit facility borrowings and/or term loans, subject to obtaining additional loan commitments (which we have not currently obtained) and the satisfaction of certain conditions.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The revolving credit facility has an initial scheduled maturity date of January 4, 2027, which date may be extended by up to a year by the exercise of either a 1-year extension option or two 6-month extension options, each of which is subject to certain conditions, including the payment of an extension fee and the accuracy of representations and warranties. One $500 million term loan tranche has an initial maturity date of January 4, 2027, which date may be extended up to a year by the exercise of one 1 -year extension option, which is subject to certain conditions, including the payment of an extension fee; and the second $500 million term loan tranche has a maturity date of January 4, 2028, which date may not be extended.</w:t>
      </w:r>
    </w:p>
    <w:p>
      <w:pPr>
        <w:spacing w:after="0" w:line="18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Neither the revolving credit facility nor the term loans, as applicable, requires any scheduled amortization payments prior to maturity. The term loans are subject to the same terms and conditions as those in the credit facility regarding subsidiary guarantees, operational covenants, financial covenants and events of default (as discussed below).</w:t>
      </w:r>
    </w:p>
    <w:p>
      <w:pPr>
        <w:spacing w:after="0" w:line="174"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Guarantees. </w:t>
      </w:r>
      <w:r>
        <w:rPr>
          <w:rFonts w:ascii="Times New Roman" w:cs="Times New Roman" w:eastAsia="Times New Roman" w:hAnsi="Times New Roman"/>
          <w:sz w:val="18"/>
          <w:szCs w:val="18"/>
          <w:color w:val="auto"/>
        </w:rPr>
        <w:t>Similar to our senior note indenture, the credit facility requires all Host L.P. subsidiaries which guaranty Host L.P. senior unsecured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to similarly guarantee obligations under the credit facility. Currently, there are no such guarantees.</w:t>
      </w:r>
    </w:p>
    <w:p>
      <w:pPr>
        <w:spacing w:after="0" w:line="158"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Prepayments. </w:t>
      </w:r>
      <w:r>
        <w:rPr>
          <w:rFonts w:ascii="Times New Roman" w:cs="Times New Roman" w:eastAsia="Times New Roman" w:hAnsi="Times New Roman"/>
          <w:sz w:val="18"/>
          <w:szCs w:val="18"/>
          <w:color w:val="auto"/>
        </w:rPr>
        <w:t>Voluntary prepayments of revolver borrowings and term loans under the credit facility are permitted in whole or in part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 or penalty.</w:t>
      </w:r>
    </w:p>
    <w:p>
      <w:pPr>
        <w:spacing w:after="0" w:line="15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Financial Covenants. </w:t>
      </w:r>
      <w:r>
        <w:rPr>
          <w:rFonts w:ascii="Times New Roman" w:cs="Times New Roman" w:eastAsia="Times New Roman" w:hAnsi="Times New Roman"/>
          <w:sz w:val="18"/>
          <w:szCs w:val="18"/>
          <w:color w:val="auto"/>
        </w:rPr>
        <w:t>The credit facility contains covenants concerning allowable leverage, fixed charge coverage and unsecured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coverage. We are permitted to make borrowings and maintain amounts outstanding under the credit facility so long as our ratio of consolidated total debt to consolidated EBITDA (“leverage ratio”) is not in excess of 7.25x, our unsecured coverage ratio is not less than 1.75x and our fixed charge coverage ratio is not less than 1.25x. These calculations are performed based on pro forma results for the prior four fiscal quarters, giving effect to transactions such as acquisitions, dispositions and financings as if they had occurred at the beginning of the period. Under the terms of the credit facility, interest expense excludes items such as the gains and losses on the extinguishment of debt, deferred financing charges related to the senior notes or the credit facility, and non-cash interest expense, all of which are included in interest expense on our audited consolidated statements of operations. Additionally, total debt used in the calculation of our leverage ratio is based on a “net debt” concept, pursuant to which cash and cash equivalents in excess of $100 million are deducted from our total debt balance.</w:t>
      </w:r>
    </w:p>
    <w:p>
      <w:pPr>
        <w:spacing w:after="0" w:line="19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are in compliance with all of our financial covenants under the credit facility. The following table summarizes the financial tests contained in the credit facility and our actual credit ratios as of December 31,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3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Actual Ratio</w:t>
            </w:r>
          </w:p>
        </w:tc>
        <w:tc>
          <w:tcPr>
            <w:tcW w:w="80" w:type="dxa"/>
            <w:vAlign w:val="bottom"/>
            <w:vMerge w:val="restart"/>
          </w:tcPr>
          <w:p>
            <w:pPr>
              <w:spacing w:after="0"/>
              <w:rPr>
                <w:sz w:val="13"/>
                <w:szCs w:val="13"/>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Covenant Requirement</w:t>
            </w:r>
          </w:p>
        </w:tc>
        <w:tc>
          <w:tcPr>
            <w:tcW w:w="0" w:type="dxa"/>
            <w:vAlign w:val="bottom"/>
          </w:tcPr>
          <w:p>
            <w:pPr>
              <w:spacing w:after="0"/>
              <w:rPr>
                <w:sz w:val="1"/>
                <w:szCs w:val="1"/>
                <w:color w:val="auto"/>
              </w:rPr>
            </w:pPr>
          </w:p>
        </w:tc>
      </w:tr>
      <w:tr>
        <w:trPr>
          <w:trHeight w:val="195"/>
        </w:trPr>
        <w:tc>
          <w:tcPr>
            <w:tcW w:w="5660" w:type="dxa"/>
            <w:vAlign w:val="bottom"/>
            <w:tcBorders>
              <w:bottom w:val="single" w:sz="8" w:color="CFF0FC"/>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FF0FC"/>
            </w:tcBorders>
            <w:vMerge w:val="continue"/>
          </w:tcPr>
          <w:p>
            <w:pPr>
              <w:spacing w:after="0"/>
              <w:rPr>
                <w:sz w:val="16"/>
                <w:szCs w:val="16"/>
                <w:color w:val="auto"/>
              </w:rPr>
            </w:pP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all years</w:t>
            </w:r>
          </w:p>
        </w:tc>
        <w:tc>
          <w:tcPr>
            <w:tcW w:w="0" w:type="dxa"/>
            <w:vAlign w:val="bottom"/>
          </w:tcPr>
          <w:p>
            <w:pPr>
              <w:spacing w:after="0"/>
              <w:rPr>
                <w:sz w:val="1"/>
                <w:szCs w:val="1"/>
                <w:color w:val="auto"/>
              </w:rPr>
            </w:pPr>
          </w:p>
        </w:tc>
      </w:tr>
      <w:tr>
        <w:trPr>
          <w:trHeight w:val="255"/>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Leverage ratio</w:t>
            </w:r>
          </w:p>
        </w:tc>
        <w:tc>
          <w:tcPr>
            <w:tcW w:w="144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2.6x</w:t>
            </w:r>
          </w:p>
        </w:tc>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Maximum ratio of 7.25x</w:t>
            </w:r>
          </w:p>
        </w:tc>
        <w:tc>
          <w:tcPr>
            <w:tcW w:w="0" w:type="dxa"/>
            <w:vAlign w:val="bottom"/>
          </w:tcPr>
          <w:p>
            <w:pPr>
              <w:spacing w:after="0"/>
              <w:rPr>
                <w:sz w:val="1"/>
                <w:szCs w:val="1"/>
                <w:color w:val="auto"/>
              </w:rPr>
            </w:pPr>
          </w:p>
        </w:tc>
      </w:tr>
      <w:tr>
        <w:trPr>
          <w:trHeight w:val="25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charge coverage ratio</w:t>
            </w:r>
          </w:p>
        </w:tc>
        <w:tc>
          <w:tcPr>
            <w:tcW w:w="14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5.6x</w:t>
            </w: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ratio of 1.25x</w:t>
            </w:r>
          </w:p>
        </w:tc>
        <w:tc>
          <w:tcPr>
            <w:tcW w:w="0" w:type="dxa"/>
            <w:vAlign w:val="bottom"/>
          </w:tcPr>
          <w:p>
            <w:pPr>
              <w:spacing w:after="0"/>
              <w:rPr>
                <w:sz w:val="1"/>
                <w:szCs w:val="1"/>
                <w:color w:val="auto"/>
              </w:rPr>
            </w:pPr>
          </w:p>
        </w:tc>
      </w:tr>
      <w:tr>
        <w:trPr>
          <w:trHeight w:val="263"/>
        </w:trPr>
        <w:tc>
          <w:tcPr>
            <w:tcW w:w="566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Unsecured interest coverage ratio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144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7.2x</w:t>
            </w:r>
          </w:p>
        </w:tc>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Minimum ratio of 1.75x</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17" w:lineRule="exact"/>
        <w:rPr>
          <w:sz w:val="20"/>
          <w:szCs w:val="20"/>
          <w:color w:val="auto"/>
        </w:rPr>
      </w:pPr>
    </w:p>
    <w:p>
      <w:pPr>
        <w:ind w:left="320" w:hanging="312"/>
        <w:spacing w:after="0"/>
        <w:tabs>
          <w:tab w:leader="none" w:pos="3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 our leverage ratio is above 7.0x, our minimum unsecured interest coverage ratio requirement will decrease to 1.50x.</w:t>
      </w:r>
    </w:p>
    <w:p>
      <w:pPr>
        <w:spacing w:after="0" w:line="21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Interest and Fees. </w:t>
      </w:r>
      <w:r>
        <w:rPr>
          <w:rFonts w:ascii="Times New Roman" w:cs="Times New Roman" w:eastAsia="Times New Roman" w:hAnsi="Times New Roman"/>
          <w:sz w:val="18"/>
          <w:szCs w:val="18"/>
          <w:color w:val="auto"/>
        </w:rPr>
        <w:t>The 2023 amendment and restatement also converted the underlying reference rate from LIBOR to SOFR. We pay interest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dollar revolver borrowings under the credit facility at floating rates equal to SOFR plus a margin ranging from 72.5 to 140 basis points (depending on Host L.P.’s unsecured long-term debt rating). We also pay a facility fee on the total $1.5 billion revolver commitment ranging from 12.5 to 30 basis points, depending on our rating and regardless of usage. We also may elect to pay interest on revolver and term loan borrowings using a base rate plus a margin that is similarly determined based on Host L.P.’s unsecured long-term debt rating. The credit facility includes a sustainability pricing adjustment that can result in a change in the interest rate applicable to borrowings. The adjustment can result in an increase or decrease of the interest rate for revolving loans of up to 4 basis points and an increase or decrease of the facility fee of up to 1 basis point. In the case of the term loans, the adjustment can result in an increase or decrease of the interest rate applicable of up to 5 basis points. The adjustments will be determined annually on the basis of an annual audited report of Host L.P.’s performance against targets established in the credit facility for (1) the percentage of our consolidated portfolio with green building certifications and (2) the percentage of electricity used at all our consolidated properties that is generated by renewable resources. Effective June 26, 2024, we achieved a milestone in the progress towards both of our targets, resulting in the maximum benefit of the basis point reduction in the interest rate on borrowings under the credit facility, and confirmed this milestone in 2025. Based on Host L.P.’s unsecured long-term debt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rating as of December 31, 2025, we are able to borrow on the revolver at a rate of adjusted SOFR plus 85 basis points less 4 basis points for meeting sustainability milestones for an all-in rate of 4.53% and pay a facility fee of 19 basis points.</w:t>
      </w:r>
    </w:p>
    <w:p>
      <w:pPr>
        <w:spacing w:after="0" w:line="162"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Interest on the term loans consists of floating rates equal to SOFR plus a margin ranging from 80 to 160 basis points (depending on Host L.P.’s unsecured long-term debt rating) and adjusted for sustainability pricing. Based on Host L.P.’s long-term debt rating as of December 31, 2025, our applicable margin on SOFR loans under both term loans is 95 basis points, less 5 basis points for meeting sustainability milestones, for an all-in rate of 4.62%.</w:t>
      </w:r>
    </w:p>
    <w:p>
      <w:pPr>
        <w:spacing w:after="0" w:line="17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Covenants and Events of Default. </w:t>
      </w:r>
      <w:r>
        <w:rPr>
          <w:rFonts w:ascii="Times New Roman" w:cs="Times New Roman" w:eastAsia="Times New Roman" w:hAnsi="Times New Roman"/>
          <w:sz w:val="18"/>
          <w:szCs w:val="18"/>
          <w:color w:val="auto"/>
        </w:rPr>
        <w:t>The credit facility contains restrictive covenants on customary matters. Certain covenants are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restrictive at any time that our leverage ratio is below 6.0x. At any time that our leverage ratio is below 6.0x, acquisitions, investments, dividends and distributions generally are permitted except where they would result in a breach of the financial covenants, calculated on a pro forma basis. Additionally, the credit facility’s restrictions on the incurrence of debt incorporate the same financial covenant as set forth in our senior notes indenture.</w:t>
      </w:r>
    </w:p>
    <w:p>
      <w:pPr>
        <w:spacing w:after="0" w:line="182"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The credit facility also includes usual and customary events of default for facilities of this nature, and provides that, upon the occurrence and continuance of an event of default, payment of all amounts due under the credit facility may be accelerated and the lenders’ commitments may be terminated. In addition, upon the occurrence of certain insolvency or bankruptcy-related events of default, all amounts due under the credit facility automatically will become due and payable and the lenders’ commitments automatically will terminate.</w:t>
      </w:r>
    </w:p>
    <w:p>
      <w:pPr>
        <w:spacing w:after="0" w:line="176"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Mortgage Debt, Including Unconsolidated Joint Ventures. </w:t>
      </w:r>
      <w:r>
        <w:rPr>
          <w:rFonts w:ascii="Times New Roman" w:cs="Times New Roman" w:eastAsia="Times New Roman" w:hAnsi="Times New Roman"/>
          <w:sz w:val="18"/>
          <w:szCs w:val="18"/>
          <w:color w:val="auto"/>
        </w:rPr>
        <w:t>At December 31, 2025, we own one consolidated property that is encumbered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mortgage debt. All of our mortgage debt is recourse solely to specific assets, except in instances of fraud, misapplication of funds and other customary recourse provisions. As of December 31, 2025, our mortgage debt has an interest rate of 4.67% and matures in 2027, with principal and interest payments due monthly. We also own non-controlling interests in joint ventures that are not consolidated and that are accounted for under the equity method. The portion of the mortgage and other debt of these joint ventures attributable to us, based on our ownership percentage thereof, was $329 million at December 31, 2025. The debt of our unconsolidated joint ventures is non-recourse to us.</w:t>
      </w:r>
    </w:p>
    <w:p>
      <w:pPr>
        <w:spacing w:after="0" w:line="182" w:lineRule="exact"/>
        <w:rPr>
          <w:sz w:val="20"/>
          <w:szCs w:val="20"/>
          <w:color w:val="auto"/>
        </w:rPr>
      </w:pPr>
    </w:p>
    <w:p>
      <w:pPr>
        <w:jc w:val="both"/>
        <w:ind w:right="4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Distributions/Dividends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Host Inc.’s policy on common dividends generally is to distribute, over time, at least 100% of its taxable income,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is dependent on our results of operations, as well as on tax gains and losses on hotel sales. For the fourth quarter of 2025, Host Inc. paid a regular quarterly cash dividend of $0.20 per share and a special dividend of $0.15 per share on its common stock on January 15, 2026 to stockholders of record as of December 31, 2025. Any future dividend will be subject to approval by Host Inc.’s Board of Directors.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Funds used by Host Inc. to pay dividends are provided by distributions from Host L.P. As of December 31, 2025, Host Inc. is the owner of approximately 99% of Host L.P.’s common OP units. The remaining common OP units are owned by various unaffiliated limited partners. Each OP unit may be offered for redemption by the limited partners for cash or, at the election of Host Inc., Host Inc. common stock based on the then current conversion ratio. The current conversion ratio is 1.021494 shares of Host Inc. common stock for each OP unit.</w:t>
      </w:r>
    </w:p>
    <w:p>
      <w:pPr>
        <w:spacing w:after="0" w:line="18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Investors should consider the 1% non-controlling position of Host L.P. OP units when analyzing dividend payments by Host Inc. to its stockholders, as these holders of OP units share, on a pro rata basis, in amounts being distributed by Host L.P. to holders of its OP units. For example, if Host Inc. paid a $1 per share dividend on its common stock, it would be based on the payment of a $1.021494 per common OP unit distribution by Host L.P. to Host Inc., as well as to the other common OP unitholders.</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Counterparty Credit Risk. </w:t>
      </w:r>
      <w:r>
        <w:rPr>
          <w:rFonts w:ascii="Times New Roman" w:cs="Times New Roman" w:eastAsia="Times New Roman" w:hAnsi="Times New Roman"/>
          <w:sz w:val="18"/>
          <w:szCs w:val="18"/>
          <w:color w:val="auto"/>
        </w:rPr>
        <w:t>We are subject to counterparty credit risk, which relates to the ability of counterparties to meet their contractual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obligations or the potential non-performance of counterparties to deliver contracted commodities or services at the contracted price. We assess the ability of our counterparties to fulfill their obligations to determine the impact, if any, of counterparty bankruptcy or insolvency on our financial condition. We are exposed to credit risk with respect to cash held at various financial institutions and access to our credit facility. We believe our credit exposure in each of these cases is limited, as the credit risk is spread among a diversified group of investment grade financial institutions. We also have counter-party credit risk with respect to our outstanding note receivable in connection with seller financing provided upon the sale of the Washington Marriott at Metro Center, although upon event of a default of the note, we would seek to enforce our rights against the collateral in accordance with the terms of the loan agreement.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conformity with U.S. GAAP, which requires management to make estimates and assumptions that affect the reported amount of assets and liabilities at the date of our financial statements and the reported amounts of revenues and expenses during the reporting period. While we do not believe the reported amounts would be materially different, application of these policies involves the exercise of judgment and the use of assumptions as to future uncertainties and, as a result, actual results could differ from these estimates. We evaluate our estimates and judgments, including those related to the impairment of long-lived assets, on an ongoing basis. We base our estimates on experience and on various other assumptions that are believed to be reasonable under the circumstances. All our significant accounting policies are disclosed in the notes to our consolidated financial statements. For a detailed discussion of the critical accounting policies related to impairment testing on our property and equipment, which require us to exercise our business judgment or make significant estimates, see “Item 8. Financial Statements and Supplementary Data – Note 1. Summary of Significant Accounting Policies”.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Hotel Operating Statistics and Results</w:t>
      </w:r>
    </w:p>
    <w:p>
      <w:pPr>
        <w:spacing w:after="0" w:line="229" w:lineRule="exact"/>
        <w:rPr>
          <w:sz w:val="20"/>
          <w:szCs w:val="20"/>
          <w:color w:val="auto"/>
        </w:rPr>
      </w:pPr>
    </w:p>
    <w:p>
      <w:pPr>
        <w:ind w:right="120" w:firstLine="648"/>
        <w:spacing w:after="0" w:line="247" w:lineRule="auto"/>
        <w:rPr>
          <w:sz w:val="20"/>
          <w:szCs w:val="20"/>
          <w:color w:val="auto"/>
        </w:rPr>
      </w:pPr>
      <w:r>
        <w:rPr>
          <w:rFonts w:ascii="Times New Roman" w:cs="Times New Roman" w:eastAsia="Times New Roman" w:hAnsi="Times New Roman"/>
          <w:sz w:val="18"/>
          <w:szCs w:val="18"/>
          <w:color w:val="auto"/>
        </w:rPr>
        <w:t>To facilitate a year-to-year comparison of our operations, we present certain operating statistics (i.e., Total RevPAR, RevPAR, average daily rate and average occupancy) and operating results (revenues, expenses, hotel EBITDA and associated margins) for the periods included in our reports on a comparable hotel basis in order to enable our investors to better evaluate our operating performance. We define our comparable hotels as those that: (i) are owned or leased by us as of the reporting date and are not classified as held-for-sale; and (ii) have not sustained substantial property damage or business interruption, or undergone large-scale capital projects, in each case requiring closures lasting one month or longer (as further defined below), during the reporting periods being compared.</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make adjustments to include recent acquisitions to include results for periods prior to our ownership. For these hotels, since the year-over-year comparison includes periods prior to our ownership, the changes will not necessarily correspond to changes in our actual results. Additionally, operating results of hotels that we sell are excluded from the comparable hotel set once the transaction has closed or the hotel is classified as held-for-sale.</w:t>
      </w:r>
    </w:p>
    <w:p>
      <w:pPr>
        <w:spacing w:after="0" w:line="16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hotel business is capital-intensive and renovations are a regular part of the business. Generally, hotels under renovation remain comparable hotels. A large-scale capital project would cause a hotel to be excluded from our comparable hotel set if it requires the entire property to be closed to hotel guests for one month or longer.</w:t>
      </w:r>
    </w:p>
    <w:p>
      <w:pPr>
        <w:spacing w:after="0" w:line="169"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Similarly, hotels are excluded from our comparable hotel set from the date that they sustain substantial property damage or business interruption if it requires the property to be closed to hotel guests for one month or longer. In each case, these hotels are returned to the comparable hotel set when the operations of the hotel have been included in our consolidated results for one full calendar year after the hotel has reopened. Often, related to events that cause property damage and the closure of a hotel, we will collect business interruption insurance proceeds for the near-term loss of business. These proceeds are included in net gain on insurance settlements on our consolidated statements of operations. Business interruption insurance gains covering lost revenues while the property was considered non-comparable also will be excluded from the comparable hotel results.</w:t>
      </w:r>
    </w:p>
    <w:p>
      <w:pPr>
        <w:spacing w:after="0" w:line="180"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Of the 79 hotels that we owned as of December 31, 2025, 76 have been classified as comparable hotels. The operating results of the following properties that we owned, and that were not classified as held-for-sale, as of December 31, 2025 are excluded from comparable hotel results for these periods:</w:t>
      </w:r>
    </w:p>
    <w:p>
      <w:pPr>
        <w:spacing w:after="0" w:line="61" w:lineRule="exact"/>
        <w:rPr>
          <w:sz w:val="20"/>
          <w:szCs w:val="20"/>
          <w:color w:val="auto"/>
        </w:rPr>
      </w:pPr>
    </w:p>
    <w:p>
      <w:pPr>
        <w:ind w:left="900" w:right="20" w:hanging="406"/>
        <w:spacing w:after="0" w:line="266" w:lineRule="auto"/>
        <w:tabs>
          <w:tab w:leader="none" w:pos="8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Don CeSar (business disruption due to Hurricane Helene resulting in closure of the hotel beginning at the end of September 2024, reopened in March 2025);</w:t>
      </w:r>
    </w:p>
    <w:p>
      <w:pPr>
        <w:spacing w:after="0" w:line="67" w:lineRule="exact"/>
        <w:rPr>
          <w:rFonts w:ascii="Times New Roman" w:cs="Times New Roman" w:eastAsia="Times New Roman" w:hAnsi="Times New Roman"/>
          <w:sz w:val="18"/>
          <w:szCs w:val="18"/>
          <w:color w:val="auto"/>
        </w:rPr>
      </w:pPr>
    </w:p>
    <w:p>
      <w:pPr>
        <w:ind w:left="900" w:right="20" w:hanging="406"/>
        <w:spacing w:after="0" w:line="266" w:lineRule="auto"/>
        <w:tabs>
          <w:tab w:leader="none" w:pos="8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Alila Ventana Big Sur (business disruption due to the collapse of a portion of Highway 1, causing closure of the hotel beginning in March 2024, reopened in May 2024); and</w:t>
      </w:r>
    </w:p>
    <w:p>
      <w:pPr>
        <w:spacing w:after="0" w:line="54" w:lineRule="exact"/>
        <w:rPr>
          <w:rFonts w:ascii="Times New Roman" w:cs="Times New Roman" w:eastAsia="Times New Roman" w:hAnsi="Times New Roman"/>
          <w:sz w:val="18"/>
          <w:szCs w:val="18"/>
          <w:color w:val="auto"/>
        </w:rPr>
      </w:pPr>
    </w:p>
    <w:p>
      <w:pPr>
        <w:ind w:left="900" w:right="100" w:hanging="406"/>
        <w:spacing w:after="0" w:line="282" w:lineRule="auto"/>
        <w:tabs>
          <w:tab w:leader="none" w:pos="8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related to the development and sale of condominium units on a development parcel adjacent to the Four Seasons Resort Orlando at Walt Disney World® Resort.</w:t>
      </w:r>
    </w:p>
    <w:p>
      <w:pPr>
        <w:spacing w:after="0" w:line="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December 31, 2025, The St. Regis Houston was classified as held-for-sale. Therefore, the results of this hotel are also excluded from comparable hotel operating statistics and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Operating results denominated in foreign currencies are translated using the prevailing exchange rates on the date of the transaction, or monthly based on the weighted average exchange rate for the period. Therefore, hotel statistics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non-U.S. properties include the effect of currency fluctuations, consistent with our financial statement presentation.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right="80" w:firstLine="648"/>
        <w:spacing w:after="0" w:line="281" w:lineRule="auto"/>
        <w:rPr>
          <w:sz w:val="20"/>
          <w:szCs w:val="20"/>
          <w:color w:val="auto"/>
        </w:rPr>
      </w:pPr>
      <w:r>
        <w:rPr>
          <w:rFonts w:ascii="Times New Roman" w:cs="Times New Roman" w:eastAsia="Times New Roman" w:hAnsi="Times New Roman"/>
          <w:sz w:val="17"/>
          <w:szCs w:val="17"/>
          <w:color w:val="auto"/>
        </w:rPr>
        <w:t>We use certain “non-GAAP financial measures,” which are measures of our historical financial performance that are not calculated and presented in accordance with GAAP, within the meaning of applicable SEC rules. These measures are as follows: (i) EBITDA,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and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as a measure of performance for Host Inc. and Host L.P., (ii) Funds From Operations (“FFO”) and FFO per diluted share (both NAREIT and Adjusted), as a measure of performance for Host Inc., and (iii) comparable hotel operating results, as a measure of performance for Host Inc. and Host L.P.</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calculate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NAREIT FFO per diluted share in accordance with standards established by NAREIT, which may not be comparable to measures calculated by other companies that do not use the NAREIT definition of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FFO or do not calculate FFO per diluted share in accordance with NAREIT guidance. In addition, although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FFO per diluted share are useful measures when comparing our results to other REITs, they may not be helpful to investors when comparing us to non-REITs. We also calculate Adjusted FFO per diluted share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which measures are not in accordance with NAREIT guidance and may not be comparable to measures calculated by other REITs or by other companies. This information should not be considered as an alternative to net income, operating profit, cash from operations or any other operating performance measure calculated in accordance with GAAP. Cash expenditures for various long-term assets (such as renewal and replacement capital expenditures), interest expense (for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purposes only) severance expense related to significant property-level reconfiguration and other items have been, and will be, made and are not reflected in the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NAREIT FFO per diluted share and Adjusted FFO per diluted share presentations. Management compensates for these limitations by separately considering the impact of these excluded items to the extent they are material to operating decisions or assessments of our operating performance. Our consolidated statements of operations and consolidated statements of cash flows include interest expense, capital expenditures, and other excluded items, all of which should be considered when evaluating our performance, as well as the usefulness of our non-GAAP financial measures. Additionally, NAREIT FFO per diluted share, Adjusted FFO per diluted share,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should not be considered as measures of our liquidity or indicative of funds available to fund our cash needs, including our ability to make cash distributions. In addition, NAREIT FFO per diluted share and Adjusted FFO per diluted share do not measure, and should not be used as measures of, amounts that accrue directly to stockholders’ benefit.</w:t>
      </w:r>
    </w:p>
    <w:p>
      <w:pPr>
        <w:spacing w:after="0" w:line="19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Similarly,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NAREIT FFO and Adjusted FFO per diluted share include adjustments for the pro rata share of our equity investments, and NAREIT FFO and Adjusted FFO include adjustments for the pro rata share of non-controlling partners in consolidated partnerships. Our equity investments consist of interests ranging from 11% to 67% in seven domestic partnerships that own a total of 90 properties and a vacation ownership development. Due to the voting rights of the outside owners, we do not control and, therefore, do not consolidate these entities. The non-controlling partners in consolidated partnerships primarily consist of the approximate 1% interest in Host L.P. held by unaffiliated limited partners and a 15% interest held by an unaffiliated limited partner in one hotel for which we do control the entity and, therefore, consolidate its operations. These pro rata results for NAREIT FFO and Adjusted FFO per diluted share,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are calculated as set forth below. Readers should be cautioned that the pro rata results presented in these measures for consolidated partnerships (for NAREIT FFO and Adjusted FFO per diluted share) and equity investments may not accurately depict the legal and economic consequences of our investments in these entities. The following discussion defines these terms and presents why we believe they are useful measures of our performance.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EBITDAre and Adjusted EBITDAre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w:t>
      </w:r>
    </w:p>
    <w:p>
      <w:pPr>
        <w:spacing w:after="0" w:line="1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Earnings before Interest Expense, Income Taxes, Depreciation and Amortization (“EBITDA”) is a commonly used measure of performance in many industries. Management believes EBITDA provides useful information to investors regarding our results of operations because it helps us and our investors evaluate the ongoing operating performance of our properties after removing the impact of our capital structure (primarily interest expense) and our asset base (primarily depreciation and amortization). Management also believes the use of EBITDA facilitates comparisons between us and other lodging REITs, hotel owners that are not REITs and other capital-intensive companies. Management uses EBITDA to evaluate property-level results and as one measure in determining the value of acquisitions and dispositions and, like FFO</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Adjusted FFO per diluted share, it is widely used by management in the annual budget process and for compensation programs.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EBITDAre and Adjusted EBITDAre</w:t>
      </w:r>
    </w:p>
    <w:p>
      <w:pPr>
        <w:spacing w:after="0" w:line="117"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We present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in accordance with NAREIT guidelines, as defined in its September 2017 white paper “Earnings Before Interest, Taxes, Depreciation and Amortization for Real Estate,” to provide an additional performance measure to facilitate the evaluation and comparison of our results with other REITs. NAREIT defines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as net income (calculated in accordance with GAAP) excluding interest expense, income tax, depreciation and amortization, gains or losses on disposition of depreciated property (including gains or losses on change of control), impairment expense for depreciated property and of investments in unconsolidated affiliates caused by a decrease in value of depreciated property in the affiliate, and adjustments to reflect the entity’s pro rata share of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of unconsolidated affiliates.</w:t>
      </w:r>
    </w:p>
    <w:p>
      <w:pPr>
        <w:spacing w:after="0" w:line="18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make additional adjustments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when evaluating our performance because we believe that the exclusion of certain additional items described below provides useful supplemental information to investors regarding our ongoing operating performance. We believe that the presentation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when combined with the primary GAAP presentation of net income, is beneficial to an investor’s understanding of our operating performance.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also is similar to the measure used to calculate certain credit ratios for our credit facility and senior notes. We adjust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for the following items, which may occur in any period, and refer to this measure as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1300" w:right="260" w:hanging="644"/>
        <w:spacing w:after="0" w:line="257" w:lineRule="auto"/>
        <w:tabs>
          <w:tab w:leader="none" w:pos="12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Property Insurance Gains and Property Damage Losses </w:t>
      </w:r>
      <w:r>
        <w:rPr>
          <w:rFonts w:ascii="Times New Roman" w:cs="Times New Roman" w:eastAsia="Times New Roman" w:hAnsi="Times New Roman"/>
          <w:sz w:val="18"/>
          <w:szCs w:val="18"/>
          <w:color w:val="auto"/>
        </w:rPr>
        <w:t>– We exclude the effect of property insurance gains reflected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operations because we believe that including them in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is not consistent with reflecting the ongoing performance of our assets. In addition, property insurance gains could be less important to investors given that the depreciated asset book value written off in connection with the calculation of the property insurance gain often does not reflect the market value of real estate assets. Similarly, losses from property damage or remediation costs that are not covered through insurance are excluded.</w:t>
      </w:r>
    </w:p>
    <w:p>
      <w:pPr>
        <w:spacing w:after="0" w:line="74" w:lineRule="exact"/>
        <w:rPr>
          <w:rFonts w:ascii="Times New Roman" w:cs="Times New Roman" w:eastAsia="Times New Roman" w:hAnsi="Times New Roman"/>
          <w:sz w:val="18"/>
          <w:szCs w:val="18"/>
          <w:color w:val="auto"/>
        </w:rPr>
      </w:pPr>
    </w:p>
    <w:p>
      <w:pPr>
        <w:ind w:left="1300" w:hanging="644"/>
        <w:spacing w:after="0" w:line="267" w:lineRule="auto"/>
        <w:tabs>
          <w:tab w:leader="none" w:pos="12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 Costs </w:t>
      </w:r>
      <w:r>
        <w:rPr>
          <w:rFonts w:ascii="Times New Roman" w:cs="Times New Roman" w:eastAsia="Times New Roman" w:hAnsi="Times New Roman"/>
          <w:sz w:val="18"/>
          <w:szCs w:val="18"/>
          <w:color w:val="auto"/>
        </w:rPr>
        <w:t>– Under GAAP, costs associated with completed property acquisitions that are considered business combinations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expensed in the year incurred. We exclude the effect of these costs because we believe they are not reflective of the ongoing performance of the Company.</w:t>
      </w:r>
    </w:p>
    <w:p>
      <w:pPr>
        <w:spacing w:after="0" w:line="65" w:lineRule="exact"/>
        <w:rPr>
          <w:rFonts w:ascii="Times New Roman" w:cs="Times New Roman" w:eastAsia="Times New Roman" w:hAnsi="Times New Roman"/>
          <w:sz w:val="18"/>
          <w:szCs w:val="18"/>
          <w:color w:val="auto"/>
        </w:rPr>
      </w:pPr>
    </w:p>
    <w:p>
      <w:pPr>
        <w:jc w:val="both"/>
        <w:ind w:left="1300" w:right="80" w:hanging="644"/>
        <w:spacing w:after="0" w:line="315" w:lineRule="auto"/>
        <w:tabs>
          <w:tab w:leader="none" w:pos="129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Litigation Gains and Losses </w:t>
      </w:r>
      <w:r>
        <w:rPr>
          <w:rFonts w:ascii="Times New Roman" w:cs="Times New Roman" w:eastAsia="Times New Roman" w:hAnsi="Times New Roman"/>
          <w:sz w:val="17"/>
          <w:szCs w:val="17"/>
          <w:color w:val="auto"/>
        </w:rPr>
        <w:t>– We exclude the effect of gains or losses associated with litigation recorded under GAAP that we consider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outside the ordinary course of business. We believe that including these items is not consistent with our ongoing operating performance.</w:t>
      </w:r>
    </w:p>
    <w:p>
      <w:pPr>
        <w:spacing w:after="0" w:line="26" w:lineRule="exact"/>
        <w:rPr>
          <w:rFonts w:ascii="Times New Roman" w:cs="Times New Roman" w:eastAsia="Times New Roman" w:hAnsi="Times New Roman"/>
          <w:sz w:val="17"/>
          <w:szCs w:val="17"/>
          <w:color w:val="auto"/>
        </w:rPr>
      </w:pPr>
    </w:p>
    <w:p>
      <w:pPr>
        <w:ind w:left="1300" w:right="140" w:hanging="644"/>
        <w:spacing w:after="0" w:line="257" w:lineRule="auto"/>
        <w:tabs>
          <w:tab w:leader="none" w:pos="12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Severance Expense </w:t>
      </w:r>
      <w:r>
        <w:rPr>
          <w:rFonts w:ascii="Times New Roman" w:cs="Times New Roman" w:eastAsia="Times New Roman" w:hAnsi="Times New Roman"/>
          <w:sz w:val="18"/>
          <w:szCs w:val="18"/>
          <w:color w:val="auto"/>
        </w:rPr>
        <w:t>– In certain circumstances, we will add back hotel-level severance expenses when we do not believe that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are reflective of the ongoing operation of our properties. Situations that would result in a severance add-back include, but are not limited to: (i) costs incurred as part of a broad-based reconfiguration of the operating model with the specific hotel operator for a portfolio of hotels and (ii) costs incurred at a specific hotel due to a broad-based and significant reconfiguration of a hotel and/or its workforce. We do not add back corporate-level severance costs or severance costs at an individual hotel that we consider to be incurred in the normal course of business.</w:t>
      </w:r>
    </w:p>
    <w:p>
      <w:pPr>
        <w:spacing w:after="0" w:line="74" w:lineRule="exact"/>
        <w:rPr>
          <w:rFonts w:ascii="Times New Roman" w:cs="Times New Roman" w:eastAsia="Times New Roman" w:hAnsi="Times New Roman"/>
          <w:sz w:val="18"/>
          <w:szCs w:val="18"/>
          <w:color w:val="auto"/>
        </w:rPr>
      </w:pPr>
    </w:p>
    <w:p>
      <w:pPr>
        <w:ind w:left="1300" w:right="60" w:hanging="644"/>
        <w:spacing w:after="0" w:line="261" w:lineRule="auto"/>
        <w:tabs>
          <w:tab w:leader="none" w:pos="12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Non-Cash Stock-Based Compensation - </w:t>
      </w:r>
      <w:r>
        <w:rPr>
          <w:rFonts w:ascii="Times New Roman" w:cs="Times New Roman" w:eastAsia="Times New Roman" w:hAnsi="Times New Roman"/>
          <w:sz w:val="18"/>
          <w:szCs w:val="18"/>
          <w:color w:val="auto"/>
        </w:rPr>
        <w:t>We exclude the expense recorded for non-cash stock-based compensation, as it represents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non-cash transaction and the add back is consistent with the calculation of Adjusted EBITDA for our financial covenant ratios under our credit facility and senior notes indentures and consistent with the presentation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for the majority of other lodging REIT filers.</w:t>
      </w:r>
    </w:p>
    <w:p>
      <w:pPr>
        <w:spacing w:after="0" w:line="180"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color w:val="auto"/>
        </w:rPr>
        <w:t>In unusual circumstances, we also may adjust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for gains or losses that management believes are not representative of the Company’s current operating performance. The last adjustment of this nature was a 2013 exclusion of a gain from an eminent domain claim.</w:t>
      </w: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color w:val="auto"/>
        </w:rPr>
        <w:t>The following table provides a reconciliation of EBITDA,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to net income, the financial measure calculated and presented in accordance with GAAP that we consider the most directly comparable: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EBITDA, EBITDA</w:t>
      </w:r>
      <w:r>
        <w:rPr>
          <w:rFonts w:ascii="Times New Roman" w:cs="Times New Roman" w:eastAsia="Times New Roman" w:hAnsi="Times New Roman"/>
          <w:sz w:val="18"/>
          <w:szCs w:val="18"/>
          <w:b w:val="1"/>
          <w:bCs w:val="1"/>
          <w:i w:val="1"/>
          <w:iCs w:val="1"/>
          <w:color w:val="auto"/>
        </w:rPr>
        <w:t>re</w:t>
      </w:r>
      <w:r>
        <w:rPr>
          <w:rFonts w:ascii="Times New Roman" w:cs="Times New Roman" w:eastAsia="Times New Roman" w:hAnsi="Times New Roman"/>
          <w:sz w:val="18"/>
          <w:szCs w:val="18"/>
          <w:b w:val="1"/>
          <w:bCs w:val="1"/>
          <w:color w:val="auto"/>
        </w:rPr>
        <w:t xml:space="preserve"> and Adjusted EBITDA</w:t>
      </w:r>
      <w:r>
        <w:rPr>
          <w:rFonts w:ascii="Times New Roman" w:cs="Times New Roman" w:eastAsia="Times New Roman" w:hAnsi="Times New Roman"/>
          <w:sz w:val="18"/>
          <w:szCs w:val="18"/>
          <w:b w:val="1"/>
          <w:bCs w:val="1"/>
          <w:i w:val="1"/>
          <w:iCs w:val="1"/>
          <w:color w:val="auto"/>
        </w:rPr>
        <w:t>re</w:t>
      </w:r>
      <w:r>
        <w:rPr>
          <w:rFonts w:ascii="Times New Roman" w:cs="Times New Roman" w:eastAsia="Times New Roman" w:hAnsi="Times New Roman"/>
          <w:sz w:val="18"/>
          <w:szCs w:val="18"/>
          <w:b w:val="1"/>
          <w:bCs w:val="1"/>
          <w:color w:val="auto"/>
        </w:rPr>
        <w:t xml:space="preserve"> for Host Inc. and Host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60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0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Net income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50"/>
        </w:trPr>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63"/>
        </w:trPr>
        <w:tc>
          <w:tcPr>
            <w:tcW w:w="8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Income taxes</w:t>
            </w:r>
          </w:p>
        </w:tc>
        <w:tc>
          <w:tcPr>
            <w:tcW w:w="9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FF0FC"/>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57"/>
        </w:trPr>
        <w:tc>
          <w:tcPr>
            <w:tcW w:w="810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EBITDA</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9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57"/>
        </w:trPr>
        <w:tc>
          <w:tcPr>
            <w:tcW w:w="810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Gain on dispositions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Non-cash impairment expense</w:t>
            </w:r>
          </w:p>
        </w:tc>
        <w:tc>
          <w:tcPr>
            <w:tcW w:w="9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 investment adjustments:</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Equity in earnings of affiliates</w:t>
            </w:r>
          </w:p>
        </w:tc>
        <w:tc>
          <w:tcPr>
            <w:tcW w:w="9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7"/>
        </w:trPr>
        <w:tc>
          <w:tcPr>
            <w:tcW w:w="8100" w:type="dxa"/>
            <w:vAlign w:val="bottom"/>
            <w:tcBorders>
              <w:bottom w:val="single" w:sz="8" w:color="CFF0FC"/>
            </w:tcBorders>
          </w:tcPr>
          <w:p>
            <w:pPr>
              <w:ind w:left="180"/>
              <w:spacing w:after="0" w:line="207" w:lineRule="exact"/>
              <w:rPr>
                <w:sz w:val="20"/>
                <w:szCs w:val="20"/>
                <w:color w:val="auto"/>
              </w:rPr>
            </w:pPr>
            <w:r>
              <w:rPr>
                <w:rFonts w:ascii="Times New Roman" w:cs="Times New Roman" w:eastAsia="Times New Roman" w:hAnsi="Times New Roman"/>
                <w:sz w:val="18"/>
                <w:szCs w:val="18"/>
                <w:color w:val="auto"/>
              </w:rPr>
              <w:t>Pro rata EBITDAre of equity investments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³</w:t>
            </w:r>
            <w:r>
              <w:rPr>
                <w:rFonts w:ascii="MS PGothic" w:cs="MS PGothic" w:eastAsia="MS PGothic" w:hAnsi="MS PGothic"/>
                <w:sz w:val="18"/>
                <w:szCs w:val="18"/>
                <w:color w:val="auto"/>
              </w:rPr>
              <w:t>⁾</w:t>
            </w: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0"/>
        </w:trPr>
        <w:tc>
          <w:tcPr>
            <w:tcW w:w="810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EBITDAre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9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gain on property insurance settlements</w:t>
            </w:r>
          </w:p>
        </w:tc>
        <w:tc>
          <w:tcPr>
            <w:tcW w:w="980" w:type="dxa"/>
            <w:vAlign w:val="bottom"/>
            <w:shd w:val="clear" w:color="auto" w:fill="CFF0FC"/>
          </w:tcPr>
          <w:p>
            <w:pPr>
              <w:spacing w:after="0"/>
              <w:rPr>
                <w:sz w:val="22"/>
                <w:szCs w:val="22"/>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57"/>
        </w:trPr>
        <w:tc>
          <w:tcPr>
            <w:tcW w:w="8100" w:type="dxa"/>
            <w:vAlign w:val="bottom"/>
            <w:tcBorders>
              <w:bottom w:val="single" w:sz="8" w:color="CFF0FC"/>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Non-cash stock-based compensation expense</w:t>
            </w:r>
            <w:r>
              <w:rPr>
                <w:rFonts w:ascii="MS PGothic" w:cs="MS PGothic" w:eastAsia="MS PGothic" w:hAnsi="MS PGothic"/>
                <w:sz w:val="18"/>
                <w:szCs w:val="18"/>
                <w:color w:val="auto"/>
              </w:rPr>
              <w:t>⁽⁴⁾</w:t>
            </w: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5"/>
        </w:trPr>
        <w:tc>
          <w:tcPr>
            <w:tcW w:w="8100" w:type="dxa"/>
            <w:vAlign w:val="bottom"/>
            <w:tcBorders>
              <w:bottom w:val="single" w:sz="8" w:color="CFF0FC"/>
            </w:tcBorders>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Adjusted EBITDAre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0"/>
        </w:trPr>
        <w:tc>
          <w:tcPr>
            <w:tcW w:w="81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w:t>
            </w: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1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-2678430</wp:posOffset>
            </wp:positionV>
            <wp:extent cx="106045" cy="869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448310</wp:posOffset>
            </wp:positionH>
            <wp:positionV relativeFrom="paragraph">
              <wp:posOffset>-2018665</wp:posOffset>
            </wp:positionV>
            <wp:extent cx="106045" cy="869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547370</wp:posOffset>
            </wp:positionH>
            <wp:positionV relativeFrom="paragraph">
              <wp:posOffset>-1024255</wp:posOffset>
            </wp:positionV>
            <wp:extent cx="106045" cy="869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-346710</wp:posOffset>
            </wp:positionV>
            <wp:extent cx="106045" cy="869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ind w:left="340" w:right="60" w:hanging="332"/>
        <w:spacing w:after="0" w:line="249" w:lineRule="auto"/>
        <w:tabs>
          <w:tab w:leader="none" w:pos="33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EBITDA,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Adjusted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NAREIT FFO and Adjusted FFO for the year ended December 31, 2025 include a gain of $4 million from the sale of land adjacent to The Phoenician hotel.</w:t>
      </w:r>
    </w:p>
    <w:p>
      <w:pPr>
        <w:ind w:left="340" w:hanging="332"/>
        <w:spacing w:after="0" w:line="261" w:lineRule="auto"/>
        <w:tabs>
          <w:tab w:leader="none" w:pos="33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sale of two hotels in 2025, and the sale of the Asia/Pacific joint venture's interest in two separate joint ventures in India in the third quarter of 2025, representing our exit from our Asia investment.</w:t>
      </w:r>
    </w:p>
    <w:p>
      <w:pPr>
        <w:ind w:left="340" w:right="520" w:hanging="332"/>
        <w:spacing w:after="0" w:line="254" w:lineRule="auto"/>
        <w:tabs>
          <w:tab w:leader="none" w:pos="33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Unrealized gains of our unconsolidated investments are not recognized in our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xml:space="preserve"> Adjusted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NAREIT FFO or Adjusted FFO until they have been realized by the unconsolidated partnership.</w:t>
      </w:r>
    </w:p>
    <w:p>
      <w:pPr>
        <w:ind w:left="340" w:hanging="332"/>
        <w:spacing w:after="0" w:line="278" w:lineRule="auto"/>
        <w:tabs>
          <w:tab w:leader="none" w:pos="33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January 1, 2025, we exclude the expense recorded for non-cash stock-based compensation, as it represents a non-cash transaction and the add back is consistent with the calculation of Adjusted EBITDA for our financial covenant ratios. Prior year results have been updated to conform with the current year presentation.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FFO Measures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present NAREIT FFO and NAREIT FFO per diluted share as non-GAAP measures of our performance in addition to our earnings per share (calculated in accordance with GAAP). We calculate NAREIT FFO per diluted share as our NAREIT FFO (defined as set forth below) for a given operating period, as adjusted for the effect of dilutive securities, divided by the number of fully diluted shares outstanding during such period in accordance with NAREIT guidelines. As noted in NAREIT’s Funds From Operations White Paper – 2018 Restatement, NAREIT defines FFO as net income (calculated in accordance with GAAP) excluding depreciation and amortization related to certain real estate assets, gains and losses from the sale of certain real estate assets, gains and losses from change in control, impairment expense of certain real estate assets and investments and adjustments for consolidated partially-owned entities and unconsolidated affiliates. Adjustments for consolidated partially-owned entities and unconsolidated affiliates are calculated to reflect our pro rata share of the FFO of those entities on the same basis.</w:t>
      </w:r>
    </w:p>
    <w:p>
      <w:pPr>
        <w:spacing w:after="0" w:line="1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believe that NAREIT FFO per diluted share is a useful supplemental measure of our operating performance and that the presentation of NAREIT FFO per diluted share, when combined with the primary GAAP presentation of earnings per share, provides beneficial information to investors. By excluding the effect of real estate depreciation, amortization, impairment expense and gains and losses from sales of depreciable real estate, all of which are based on historical cost accounting and which may be of lesser significance in evaluating current performance, we believe such measures can facilitate comparisons of operating performance between periods and with other REITs, even though NAREIT FFO per diluted share does not represent an amount that accrues directly to holders of our common stock. Historical cost accounting for real estate assets implicitly assumes that the value of real estate assets diminishes predictably over time. As noted by NAREIT in its Funds From Operations White Paper – 2018 Restatement, the primary purpose for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including FFO as a supplemental measure of operating performance of a REIT is to address the artificial nature of historical cost depreciation and amortization of real estate and real estate-related assets mandated by GAAP. For these reasons, NAREIT adopted the FFO metric in order to promote a uniform industry-wide measure of REIT operating performance.</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also present Adjusted FFO per diluted share when evaluating our performance because management believes that the exclusion of certain additional items described below provides useful supplemental information to investors regarding our ongoing operating performance. Management historically has made the adjustments detailed below in evaluating our performance, in our annual budget process and for our compensation programs. We believe that the presentation of Adjusted FFO per diluted share, when combined with both the primary GAAP presentation of earnings per share and FFO per diluted share as defined by NAREIT, provides useful supplemental information that is beneficial to an investor’s understanding of our operating performance. We adjust NAREIT FFO per diluted share for the following items, which may occur in any period, and refer to this measure as Adjusted FFO per diluted share:</w:t>
      </w:r>
    </w:p>
    <w:p>
      <w:pPr>
        <w:spacing w:after="0" w:line="79" w:lineRule="exact"/>
        <w:rPr>
          <w:sz w:val="20"/>
          <w:szCs w:val="20"/>
          <w:color w:val="auto"/>
        </w:rPr>
      </w:pPr>
    </w:p>
    <w:p>
      <w:pPr>
        <w:ind w:left="1300" w:hanging="644"/>
        <w:spacing w:after="0" w:line="258" w:lineRule="auto"/>
        <w:tabs>
          <w:tab w:leader="none" w:pos="12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Gains and Losses on the Extinguishment of Debt </w:t>
      </w:r>
      <w:r>
        <w:rPr>
          <w:rFonts w:ascii="Times New Roman" w:cs="Times New Roman" w:eastAsia="Times New Roman" w:hAnsi="Times New Roman"/>
          <w:sz w:val="18"/>
          <w:szCs w:val="18"/>
          <w:color w:val="auto"/>
        </w:rPr>
        <w:t>– We exclude the effect of finance charges and premiums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extinguishment of debt, including the acceleration of the write-off of deferred financing costs from the original issuance of the debt being redeemed or retired and incremental interest expense incurred during the refinancing period. We also exclude the gains on debt repurchases and the original issuance costs associated with the retirement of preferred stock. We believe that these items are not reflective of our ongoing finance costs.</w:t>
      </w:r>
    </w:p>
    <w:p>
      <w:pPr>
        <w:spacing w:after="0" w:line="75" w:lineRule="exact"/>
        <w:rPr>
          <w:rFonts w:ascii="Times New Roman" w:cs="Times New Roman" w:eastAsia="Times New Roman" w:hAnsi="Times New Roman"/>
          <w:sz w:val="18"/>
          <w:szCs w:val="18"/>
          <w:color w:val="auto"/>
        </w:rPr>
      </w:pPr>
    </w:p>
    <w:p>
      <w:pPr>
        <w:ind w:left="1300" w:right="260" w:hanging="644"/>
        <w:spacing w:after="0" w:line="267" w:lineRule="auto"/>
        <w:tabs>
          <w:tab w:leader="none" w:pos="12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 Costs </w:t>
      </w:r>
      <w:r>
        <w:rPr>
          <w:rFonts w:ascii="Times New Roman" w:cs="Times New Roman" w:eastAsia="Times New Roman" w:hAnsi="Times New Roman"/>
          <w:sz w:val="18"/>
          <w:szCs w:val="18"/>
          <w:color w:val="auto"/>
        </w:rPr>
        <w:t>–Under GAAP, costs associated with completed property acquisitions that are considered business combinations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expensed in the year incurred. We exclude the effect of these costs because we believe they are not reflective of the ongoing performance of the Company.</w:t>
      </w:r>
    </w:p>
    <w:p>
      <w:pPr>
        <w:spacing w:after="0" w:line="65" w:lineRule="exact"/>
        <w:rPr>
          <w:rFonts w:ascii="Times New Roman" w:cs="Times New Roman" w:eastAsia="Times New Roman" w:hAnsi="Times New Roman"/>
          <w:sz w:val="18"/>
          <w:szCs w:val="18"/>
          <w:color w:val="auto"/>
        </w:rPr>
      </w:pPr>
    </w:p>
    <w:p>
      <w:pPr>
        <w:ind w:left="1300" w:right="140" w:hanging="644"/>
        <w:spacing w:after="0" w:line="267" w:lineRule="auto"/>
        <w:tabs>
          <w:tab w:leader="none" w:pos="12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Litigation Gains and Losses </w:t>
      </w:r>
      <w:r>
        <w:rPr>
          <w:rFonts w:ascii="Times New Roman" w:cs="Times New Roman" w:eastAsia="Times New Roman" w:hAnsi="Times New Roman"/>
          <w:sz w:val="18"/>
          <w:szCs w:val="18"/>
          <w:color w:val="auto"/>
        </w:rPr>
        <w:t>– We exclude the effect of gains or losses associated with litigation recorded under GAAP that we consider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outside the ordinary course of business. We believe that including these items is not consistent with our ongoing operating performance.</w:t>
      </w:r>
    </w:p>
    <w:p>
      <w:pPr>
        <w:spacing w:after="0" w:line="65" w:lineRule="exact"/>
        <w:rPr>
          <w:rFonts w:ascii="Times New Roman" w:cs="Times New Roman" w:eastAsia="Times New Roman" w:hAnsi="Times New Roman"/>
          <w:sz w:val="18"/>
          <w:szCs w:val="18"/>
          <w:color w:val="auto"/>
        </w:rPr>
      </w:pPr>
    </w:p>
    <w:p>
      <w:pPr>
        <w:ind w:left="1300" w:right="180" w:hanging="644"/>
        <w:spacing w:after="0" w:line="257" w:lineRule="auto"/>
        <w:tabs>
          <w:tab w:leader="none" w:pos="12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Severance Expense – </w:t>
      </w:r>
      <w:r>
        <w:rPr>
          <w:rFonts w:ascii="Times New Roman" w:cs="Times New Roman" w:eastAsia="Times New Roman" w:hAnsi="Times New Roman"/>
          <w:sz w:val="18"/>
          <w:szCs w:val="18"/>
          <w:color w:val="auto"/>
        </w:rPr>
        <w:t>In certain circumstances, we will add back hotel-level severance expenses when we do not believe that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are reflective of the ongoing operation of our properties. Situations that would result in a severance add back include, but are not limited to: (i) costs incurred as part of a broad-based reconfiguration of the operating model with the specific hotel operator for a portfolio of hotels and (ii) costs incurred at a specific hotel due to a broad-based and significant reconfiguration of a hotel and/or its workforce. We do not add back corporate-level severance costs or severance costs at an individual hotel that we consider to be incurred in the normal course of business.</w:t>
      </w:r>
    </w:p>
    <w:p>
      <w:pPr>
        <w:spacing w:after="0" w:line="74" w:lineRule="exact"/>
        <w:rPr>
          <w:rFonts w:ascii="Times New Roman" w:cs="Times New Roman" w:eastAsia="Times New Roman" w:hAnsi="Times New Roman"/>
          <w:sz w:val="18"/>
          <w:szCs w:val="18"/>
          <w:color w:val="auto"/>
        </w:rPr>
      </w:pPr>
    </w:p>
    <w:p>
      <w:pPr>
        <w:jc w:val="both"/>
        <w:ind w:left="1300" w:right="100" w:hanging="644"/>
        <w:spacing w:after="0" w:line="261" w:lineRule="auto"/>
        <w:tabs>
          <w:tab w:leader="none" w:pos="1295" w:val="left"/>
        </w:tabs>
        <w:numPr>
          <w:ilvl w:val="0"/>
          <w:numId w:val="53"/>
        </w:numPr>
        <w:rPr>
          <w:rFonts w:ascii="Times New Roman" w:cs="Times New Roman" w:eastAsia="Times New Roman" w:hAnsi="Times New Roman"/>
          <w:sz w:val="18"/>
          <w:szCs w:val="18"/>
          <w:color w:val="9A8F6A"/>
        </w:rPr>
      </w:pPr>
      <w:r>
        <w:rPr>
          <w:rFonts w:ascii="Times New Roman" w:cs="Times New Roman" w:eastAsia="Times New Roman" w:hAnsi="Times New Roman"/>
          <w:sz w:val="18"/>
          <w:szCs w:val="18"/>
          <w:i w:val="1"/>
          <w:iCs w:val="1"/>
          <w:color w:val="auto"/>
        </w:rPr>
        <w:t xml:space="preserve">Non-Cash Stock-Based Compensation - </w:t>
      </w:r>
      <w:r>
        <w:rPr>
          <w:rFonts w:ascii="Times New Roman" w:cs="Times New Roman" w:eastAsia="Times New Roman" w:hAnsi="Times New Roman"/>
          <w:sz w:val="18"/>
          <w:szCs w:val="18"/>
          <w:color w:val="auto"/>
        </w:rPr>
        <w:t>We exclude the expense recorded for non-cash stock-based compensation, as it represents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non-cash transaction and the add back is consistent with the calculation of Adjusted EBITDA for our financial covenant ratios under our credit facility and senior notes indentures and consistent with the presentation of Adjusted FFO per diluted share for the majority of other lodging REIT filers.</w:t>
      </w:r>
    </w:p>
    <w:p>
      <w:pPr>
        <w:spacing w:after="0" w:line="18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 unusual circumstances, we also may adjust NAREIT FFO for gains or losses that management believes are not representative of our current operating performance. For example, in 2017, as a result of the reduction of the U.S. federal corporate income tax rate from 35% to 21% by the Tax Cuts and Jobs Act, we remeasured our domestic deferred tax assets as of December 31, 2017 and recorded a one-time adjustment to reduce our deferred tax assets and increase the provision for income taxes by approximately $11 million. We do not consider this adjustment to be reflective of our ongoing operating performance and, therefore, we excluded this item from Adjusted FFO.</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the differences between our non-GAAP financial measures, NAREIT FFO and Adjusted FFO (separately and on a per diluted share basis), and net income, the financial measure calculated and presented in accordance with GAAP that we consider most directly comparable: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Inc. Reconciliation of Diluted Earnings per Common Share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NAREIT and Adjusted Funds From Operations per Diluted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60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6"/>
        </w:trPr>
        <w:tc>
          <w:tcPr>
            <w:tcW w:w="8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r>
      <w:tr>
        <w:trPr>
          <w:trHeight w:val="23"/>
        </w:trPr>
        <w:tc>
          <w:tcPr>
            <w:tcW w:w="810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0"/>
        </w:trPr>
        <w:tc>
          <w:tcPr>
            <w:tcW w:w="810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Net income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980" w:type="dxa"/>
            <w:vAlign w:val="bottom"/>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50"/>
        </w:trPr>
        <w:tc>
          <w:tcPr>
            <w:tcW w:w="810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9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6"/>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Host Inc.</w:t>
            </w:r>
          </w:p>
        </w:tc>
        <w:tc>
          <w:tcPr>
            <w:tcW w:w="9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63"/>
        </w:trPr>
        <w:tc>
          <w:tcPr>
            <w:tcW w:w="8100" w:type="dxa"/>
            <w:vAlign w:val="bottom"/>
            <w:shd w:val="clear" w:color="auto" w:fill="CFF0FC"/>
          </w:tcPr>
          <w:p>
            <w:pPr>
              <w:ind w:left="100"/>
              <w:spacing w:after="0" w:line="207" w:lineRule="exact"/>
              <w:rPr>
                <w:sz w:val="20"/>
                <w:szCs w:val="20"/>
                <w:color w:val="auto"/>
              </w:rPr>
            </w:pPr>
            <w:r>
              <w:rPr>
                <w:rFonts w:ascii="Times New Roman" w:cs="Times New Roman" w:eastAsia="Times New Roman" w:hAnsi="Times New Roman"/>
                <w:sz w:val="18"/>
                <w:szCs w:val="18"/>
                <w:color w:val="auto"/>
              </w:rPr>
              <w:t>Gain on dispositions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9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gain on property insurance settlements</w:t>
            </w:r>
          </w:p>
        </w:tc>
        <w:tc>
          <w:tcPr>
            <w:tcW w:w="98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63"/>
        </w:trPr>
        <w:tc>
          <w:tcPr>
            <w:tcW w:w="8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50"/>
        </w:trPr>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Non-cash impairment expense</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Equity investment adjustments:</w:t>
            </w:r>
          </w:p>
        </w:tc>
        <w:tc>
          <w:tcPr>
            <w:tcW w:w="9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r>
      <w:tr>
        <w:trPr>
          <w:trHeight w:val="25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earnings of affiliates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63"/>
        </w:trPr>
        <w:tc>
          <w:tcPr>
            <w:tcW w:w="8100" w:type="dxa"/>
            <w:vAlign w:val="bottom"/>
            <w:shd w:val="clear" w:color="auto" w:fill="CFF0FC"/>
          </w:tcPr>
          <w:p>
            <w:pPr>
              <w:ind w:left="180"/>
              <w:spacing w:after="0" w:line="207" w:lineRule="exact"/>
              <w:rPr>
                <w:sz w:val="20"/>
                <w:szCs w:val="20"/>
                <w:color w:val="auto"/>
              </w:rPr>
            </w:pPr>
            <w:r>
              <w:rPr>
                <w:rFonts w:ascii="Times New Roman" w:cs="Times New Roman" w:eastAsia="Times New Roman" w:hAnsi="Times New Roman"/>
                <w:sz w:val="18"/>
                <w:szCs w:val="18"/>
                <w:color w:val="auto"/>
              </w:rPr>
              <w:t>Pro rata FFO of equity investments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³</w:t>
            </w:r>
            <w:r>
              <w:rPr>
                <w:rFonts w:ascii="MS PGothic" w:cs="MS PGothic" w:eastAsia="MS PGothic" w:hAnsi="MS PGothic"/>
                <w:sz w:val="18"/>
                <w:szCs w:val="18"/>
                <w:color w:val="auto"/>
              </w:rPr>
              <w:t>⁾</w:t>
            </w:r>
          </w:p>
        </w:tc>
        <w:tc>
          <w:tcPr>
            <w:tcW w:w="9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Consolidated partnership adjustments:</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63"/>
        </w:trPr>
        <w:tc>
          <w:tcPr>
            <w:tcW w:w="8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FFO adjustment for non-controlling partnerships</w:t>
            </w:r>
          </w:p>
        </w:tc>
        <w:tc>
          <w:tcPr>
            <w:tcW w:w="9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810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FFO adjustment for non-controlling interests of Host L.P.</w:t>
            </w:r>
          </w:p>
        </w:tc>
        <w:tc>
          <w:tcPr>
            <w:tcW w:w="9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7"/>
        </w:trPr>
        <w:tc>
          <w:tcPr>
            <w:tcW w:w="810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NAREIT FFO</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9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NAREIT FFO:</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63"/>
        </w:trPr>
        <w:tc>
          <w:tcPr>
            <w:tcW w:w="8100" w:type="dxa"/>
            <w:vAlign w:val="bottom"/>
            <w:shd w:val="clear" w:color="auto" w:fill="CFF0FC"/>
          </w:tcPr>
          <w:p>
            <w:pPr>
              <w:ind w:left="100"/>
              <w:spacing w:after="0" w:line="207" w:lineRule="exact"/>
              <w:rPr>
                <w:sz w:val="20"/>
                <w:szCs w:val="20"/>
                <w:color w:val="auto"/>
              </w:rPr>
            </w:pPr>
            <w:r>
              <w:rPr>
                <w:rFonts w:ascii="Times New Roman" w:cs="Times New Roman" w:eastAsia="Times New Roman" w:hAnsi="Times New Roman"/>
                <w:sz w:val="18"/>
                <w:szCs w:val="18"/>
                <w:color w:val="auto"/>
              </w:rPr>
              <w:t>Non-cash stock-based compensation expense</w:t>
            </w:r>
            <w:r>
              <w:rPr>
                <w:rFonts w:ascii="MS PGothic" w:cs="MS PGothic" w:eastAsia="MS PGothic" w:hAnsi="MS PGothic"/>
                <w:sz w:val="18"/>
                <w:szCs w:val="18"/>
                <w:color w:val="auto"/>
              </w:rPr>
              <w:t>⁽⁴⁾</w:t>
            </w:r>
          </w:p>
        </w:tc>
        <w:tc>
          <w:tcPr>
            <w:tcW w:w="98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50"/>
        </w:trPr>
        <w:tc>
          <w:tcPr>
            <w:tcW w:w="81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Adjusted FFO</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98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0"/>
        </w:trPr>
        <w:tc>
          <w:tcPr>
            <w:tcW w:w="810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37"/>
        </w:trPr>
        <w:tc>
          <w:tcPr>
            <w:tcW w:w="81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r>
      <w:tr>
        <w:trPr>
          <w:trHeight w:val="256"/>
        </w:trPr>
        <w:tc>
          <w:tcPr>
            <w:tcW w:w="810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b w:val="1"/>
                <w:bCs w:val="1"/>
                <w:color w:val="auto"/>
              </w:rPr>
              <w:t>For calculation on a per share basis:</w:t>
            </w:r>
            <w:r>
              <w:rPr>
                <w:rFonts w:ascii="MS PGothic" w:cs="MS PGothic" w:eastAsia="MS PGothic" w:hAnsi="MS PGothic"/>
                <w:sz w:val="18"/>
                <w:szCs w:val="18"/>
                <w:color w:val="auto"/>
              </w:rPr>
              <w:t>⁽</w:t>
            </w:r>
            <w:r>
              <w:rPr>
                <w:rFonts w:ascii="Times New Roman" w:cs="Times New Roman" w:eastAsia="Times New Roman" w:hAnsi="Times New Roman"/>
                <w:sz w:val="23"/>
                <w:szCs w:val="23"/>
                <w:b w:val="1"/>
                <w:bCs w:val="1"/>
                <w:color w:val="auto"/>
                <w:vertAlign w:val="superscript"/>
              </w:rPr>
              <w:t>5</w:t>
            </w:r>
            <w:r>
              <w:rPr>
                <w:rFonts w:ascii="MS PGothic" w:cs="MS PGothic" w:eastAsia="MS PGothic" w:hAnsi="MS PGothic"/>
                <w:sz w:val="18"/>
                <w:szCs w:val="18"/>
                <w:color w:val="auto"/>
              </w:rPr>
              <w:t>⁾</w:t>
            </w: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70"/>
        </w:trPr>
        <w:tc>
          <w:tcPr>
            <w:tcW w:w="8100" w:type="dxa"/>
            <w:vAlign w:val="bottom"/>
            <w:shd w:val="clear" w:color="auto" w:fill="CFF0FC"/>
          </w:tcPr>
          <w:p>
            <w:pPr>
              <w:spacing w:after="0"/>
              <w:rPr>
                <w:sz w:val="23"/>
                <w:szCs w:val="23"/>
                <w:color w:val="auto"/>
              </w:rPr>
            </w:pPr>
          </w:p>
        </w:tc>
        <w:tc>
          <w:tcPr>
            <w:tcW w:w="98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98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r>
      <w:tr>
        <w:trPr>
          <w:trHeight w:val="25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weighted average shares outstanding - EPS, NAREIT FFO and Adjusted FFO</w:t>
            </w: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10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704.0</w:t>
            </w:r>
          </w:p>
        </w:tc>
      </w:tr>
      <w:tr>
        <w:trPr>
          <w:trHeight w:val="20"/>
        </w:trPr>
        <w:tc>
          <w:tcPr>
            <w:tcW w:w="810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75"/>
        </w:trPr>
        <w:tc>
          <w:tcPr>
            <w:tcW w:w="8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0.99</w:t>
            </w:r>
          </w:p>
        </w:tc>
      </w:tr>
      <w:tr>
        <w:trPr>
          <w:trHeight w:val="20"/>
        </w:trPr>
        <w:tc>
          <w:tcPr>
            <w:tcW w:w="81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NAREIT FFO per diluted share</w:t>
            </w:r>
          </w:p>
        </w:tc>
        <w:tc>
          <w:tcPr>
            <w:tcW w:w="98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0"/>
        </w:trPr>
        <w:tc>
          <w:tcPr>
            <w:tcW w:w="810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75"/>
        </w:trPr>
        <w:tc>
          <w:tcPr>
            <w:tcW w:w="8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FFO per diluted share</w:t>
            </w: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0"/>
        </w:trPr>
        <w:tc>
          <w:tcPr>
            <w:tcW w:w="81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-4251960</wp:posOffset>
            </wp:positionV>
            <wp:extent cx="106045" cy="869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711200</wp:posOffset>
            </wp:positionH>
            <wp:positionV relativeFrom="paragraph">
              <wp:posOffset>-1954530</wp:posOffset>
            </wp:positionV>
            <wp:extent cx="106045" cy="869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711200</wp:posOffset>
            </wp:positionH>
            <wp:positionV relativeFrom="paragraph">
              <wp:posOffset>-1440180</wp:posOffset>
            </wp:positionV>
            <wp:extent cx="106045" cy="869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1778635</wp:posOffset>
            </wp:positionH>
            <wp:positionV relativeFrom="paragraph">
              <wp:posOffset>-1105535</wp:posOffset>
            </wp:positionV>
            <wp:extent cx="108585" cy="869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8585" cy="8699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 Refer to the corresponding footnote on the Reconciliation of Net Income to EBITDA, EBITDAre and Adjusted EBITDAre for Host Inc. and Host L.P.</w:t>
      </w:r>
    </w:p>
    <w:p>
      <w:pPr>
        <w:spacing w:after="0" w:line="11" w:lineRule="exact"/>
        <w:rPr>
          <w:sz w:val="20"/>
          <w:szCs w:val="20"/>
          <w:color w:val="auto"/>
        </w:rPr>
      </w:pPr>
    </w:p>
    <w:p>
      <w:pPr>
        <w:ind w:left="340" w:right="100" w:hanging="332"/>
        <w:spacing w:after="0" w:line="272" w:lineRule="auto"/>
        <w:tabs>
          <w:tab w:leader="none" w:pos="33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per common share, NAREIT FFO per diluted share and Adjusted FFO per diluted share are adjusted for the effects of dilutive securities. Dilutive securities may include shares granted under comprehensive stock plans, preferred OP units held by non-controlling limited partners and other non-controlling interests that have the option to convert their limited partner interests to common OP units. No effect is shown for securities if they are anti-dilutive.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Hotel Property Level Operating Results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present certain operating results for our hotels, such as hotel revenues, expenses, food and beverage profit, and EBITDA (and the related margins), on a comparable hotel, or "same store," basis as supplemental information for our investors. Our comparable hotel results present operating results for our hotels without giving effect to dispositions or properties that experienced closures due to renovations or property damage, as discussed in “Comparable Hotel Operating Statistics and Results” above. We present comparable hotel EBITDA to help us and our investors evaluate the ongoing operating performance of our comparable hotels after removing the impact of our capital structure (primarily interest expense) and our asset base (primarily depreciation and amortization expense). Corporate-level costs and expenses also are removed to arrive at property-level results. We believe these property-level results provide investors with supplemental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information about the ongoing operating performance of our comparable hotels. Comparable hotel results are presented both by location and for our properties in the aggregate. We eliminate from our comparable hotel level operating results severance costs related to broad-based and significant property-level reconfiguration that is not considered to be within the normal course of business, as we believe this elimination provides useful supplemental information that is beneficial to an investor’s understanding of our ongoing operating performance. We also eliminate depreciation and amortization expense because, even though depreciation and amortization expense are property-level expenses, these non-cash expenses, which are based on historical cost accounting for real estate assets, implicitly assume that the value of real estate assets diminishes predictably over time. As noted earlier, because real estate values historically have risen or fallen with market conditions, many real estate industry investors have considered presentation of historical cost accounting for operating results to be insufficient.</w:t>
      </w:r>
    </w:p>
    <w:p>
      <w:pPr>
        <w:spacing w:after="0" w:line="19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Because of the elimination of corporate-level costs and expenses, gains or losses on disposition, certain severance expenses and depreciation and amortization expense, the comparable hotel operating results we present do not represent our total revenues, expenses, operating profit or net income and should not be used to evaluate our performance as a whole. Management compensates for these limitations by separately considering the impact of these excluded items to the extent they are material to operating decisions or assessments of our operating performance. Our consolidated statements of operations include such amounts, all of which should be considered by investors when evaluating our performance.</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present these hotel operating results on a comparable hotel basis because we believe that doing so provides investors and management with useful information for evaluating the period-to-period performance of our hotels and facilitates comparisons with other hotel REITs and hotel owners. In particular, these measures assist management and investors in distinguishing whether increases or decreases in revenues and/or expenses are due to growth or decline of operations at comparable hotels (which represent the vast majority of our portfolio) or from other factors. While management believes that presentation of comparable hotel results is a supplemental measure that provides useful information in evaluating our ongoing performance, this measure is not used to allocate resources or to assess the operating performance of each of our hotels, as these decisions are based on data for individual hotels and are not based on comparable hotel results in the aggregate. For these reasons, we believe comparable hotel operating results, when combined with the presentation of GAAP operating profit, revenues and expenses, provide useful information to investors and management.</w:t>
      </w: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certain operating results and statistics for our comparable hotel results for the periods presented herein: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Comparable Hotel Results for Host Inc. and Host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hotel statistics)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272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6"/>
                <w:szCs w:val="16"/>
                <w:color w:val="auto"/>
              </w:rPr>
            </w:pPr>
          </w:p>
        </w:tc>
      </w:tr>
      <w:tr>
        <w:trPr>
          <w:trHeight w:val="23"/>
        </w:trPr>
        <w:tc>
          <w:tcPr>
            <w:tcW w:w="78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6"/>
        </w:trPr>
        <w:tc>
          <w:tcPr>
            <w:tcW w:w="78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r>
      <w:tr>
        <w:trPr>
          <w:trHeight w:val="23"/>
        </w:trPr>
        <w:tc>
          <w:tcPr>
            <w:tcW w:w="788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hotels</w:t>
            </w:r>
          </w:p>
        </w:tc>
        <w:tc>
          <w:tcPr>
            <w:tcW w:w="9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5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rooms</w:t>
            </w: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41,839</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41,839</w:t>
            </w:r>
          </w:p>
        </w:tc>
      </w:tr>
      <w:tr>
        <w:trPr>
          <w:trHeight w:val="263"/>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comparable hotel Total RevPAR</w:t>
            </w:r>
          </w:p>
        </w:tc>
        <w:tc>
          <w:tcPr>
            <w:tcW w:w="980" w:type="dxa"/>
            <w:vAlign w:val="bottom"/>
            <w:shd w:val="clear" w:color="auto" w:fill="CFF0FC"/>
          </w:tcPr>
          <w:p>
            <w:pPr>
              <w:spacing w:after="0"/>
              <w:rPr>
                <w:sz w:val="22"/>
                <w:szCs w:val="22"/>
                <w:color w:val="auto"/>
              </w:rPr>
            </w:pPr>
          </w:p>
        </w:tc>
        <w:tc>
          <w:tcPr>
            <w:tcW w:w="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6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comparable hotel RevPAR</w:t>
            </w:r>
          </w:p>
        </w:tc>
        <w:tc>
          <w:tcPr>
            <w:tcW w:w="980" w:type="dxa"/>
            <w:vAlign w:val="bottom"/>
          </w:tcPr>
          <w:p>
            <w:pPr>
              <w:spacing w:after="0"/>
              <w:rPr>
                <w:sz w:val="21"/>
                <w:szCs w:val="21"/>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88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Operating profit margin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980" w:type="dxa"/>
            <w:vAlign w:val="bottom"/>
            <w:shd w:val="clear" w:color="auto" w:fill="CFF0FC"/>
          </w:tcPr>
          <w:p>
            <w:pPr>
              <w:spacing w:after="0"/>
              <w:rPr>
                <w:sz w:val="22"/>
                <w:szCs w:val="22"/>
                <w:color w:val="auto"/>
              </w:rPr>
            </w:pPr>
          </w:p>
        </w:tc>
        <w:tc>
          <w:tcPr>
            <w:tcW w:w="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57"/>
        </w:trPr>
        <w:tc>
          <w:tcPr>
            <w:tcW w:w="78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Comparable hotel EBITDA margin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980" w:type="dxa"/>
            <w:vAlign w:val="bottom"/>
          </w:tcPr>
          <w:p>
            <w:pPr>
              <w:spacing w:after="0"/>
              <w:rPr>
                <w:sz w:val="22"/>
                <w:szCs w:val="22"/>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57"/>
        </w:trPr>
        <w:tc>
          <w:tcPr>
            <w:tcW w:w="788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Food and beverage profit margin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980" w:type="dxa"/>
            <w:vAlign w:val="bottom"/>
            <w:shd w:val="clear" w:color="auto" w:fill="CFF0FC"/>
          </w:tcPr>
          <w:p>
            <w:pPr>
              <w:spacing w:after="0"/>
              <w:rPr>
                <w:sz w:val="22"/>
                <w:szCs w:val="22"/>
                <w:color w:val="auto"/>
              </w:rPr>
            </w:pPr>
          </w:p>
        </w:tc>
        <w:tc>
          <w:tcPr>
            <w:tcW w:w="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56"/>
        </w:trPr>
        <w:tc>
          <w:tcPr>
            <w:tcW w:w="78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Comparable hotel food and beverage profit margin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980" w:type="dxa"/>
            <w:vAlign w:val="bottom"/>
          </w:tcPr>
          <w:p>
            <w:pPr>
              <w:spacing w:after="0"/>
              <w:rPr>
                <w:sz w:val="22"/>
                <w:szCs w:val="22"/>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70"/>
        </w:trPr>
        <w:tc>
          <w:tcPr>
            <w:tcW w:w="7880" w:type="dxa"/>
            <w:vAlign w:val="bottom"/>
            <w:shd w:val="clear" w:color="auto" w:fill="CFF0FC"/>
          </w:tcPr>
          <w:p>
            <w:pPr>
              <w:spacing w:after="0"/>
              <w:rPr>
                <w:sz w:val="23"/>
                <w:szCs w:val="23"/>
                <w:color w:val="auto"/>
              </w:rPr>
            </w:pPr>
          </w:p>
        </w:tc>
        <w:tc>
          <w:tcPr>
            <w:tcW w:w="980" w:type="dxa"/>
            <w:vAlign w:val="bottom"/>
            <w:shd w:val="clear" w:color="auto" w:fill="CFF0FC"/>
          </w:tcPr>
          <w:p>
            <w:pPr>
              <w:spacing w:after="0"/>
              <w:rPr>
                <w:sz w:val="23"/>
                <w:szCs w:val="23"/>
                <w:color w:val="auto"/>
              </w:rPr>
            </w:pPr>
          </w:p>
        </w:tc>
        <w:tc>
          <w:tcPr>
            <w:tcW w:w="6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640" w:type="dxa"/>
            <w:vAlign w:val="bottom"/>
            <w:shd w:val="clear" w:color="auto" w:fill="CFF0FC"/>
          </w:tcPr>
          <w:p>
            <w:pPr>
              <w:spacing w:after="0"/>
              <w:rPr>
                <w:sz w:val="23"/>
                <w:szCs w:val="23"/>
                <w:color w:val="auto"/>
              </w:rPr>
            </w:pPr>
          </w:p>
        </w:tc>
      </w:tr>
      <w:tr>
        <w:trPr>
          <w:trHeight w:val="25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Pr>
          <w:p>
            <w:pPr>
              <w:spacing w:after="0"/>
              <w:rPr>
                <w:sz w:val="21"/>
                <w:szCs w:val="21"/>
                <w:color w:val="auto"/>
              </w:rPr>
            </w:pP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707</w:t>
            </w:r>
          </w:p>
        </w:tc>
      </w:tr>
      <w:tr>
        <w:trPr>
          <w:trHeight w:val="263"/>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FF0FC"/>
          </w:tcPr>
          <w:p>
            <w:pPr>
              <w:spacing w:after="0"/>
              <w:rPr>
                <w:sz w:val="22"/>
                <w:szCs w:val="22"/>
                <w:color w:val="auto"/>
              </w:rPr>
            </w:pPr>
          </w:p>
        </w:tc>
        <w:tc>
          <w:tcPr>
            <w:tcW w:w="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795</w:t>
            </w:r>
          </w:p>
        </w:tc>
        <w:tc>
          <w:tcPr>
            <w:tcW w:w="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6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762</w:t>
            </w:r>
          </w:p>
        </w:tc>
      </w:tr>
      <w:tr>
        <w:trPr>
          <w:trHeight w:val="25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spacing w:after="0"/>
              <w:rPr>
                <w:sz w:val="21"/>
                <w:szCs w:val="21"/>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215</w:t>
            </w:r>
          </w:p>
        </w:tc>
      </w:tr>
      <w:tr>
        <w:trPr>
          <w:trHeight w:val="263"/>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shd w:val="clear" w:color="auto" w:fill="CFF0FC"/>
          </w:tcPr>
          <w:p>
            <w:pPr>
              <w:spacing w:after="0"/>
              <w:rPr>
                <w:sz w:val="22"/>
                <w:szCs w:val="22"/>
                <w:color w:val="auto"/>
              </w:rPr>
            </w:pPr>
          </w:p>
        </w:tc>
        <w:tc>
          <w:tcPr>
            <w:tcW w:w="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6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property and corporate level income/expense</w:t>
            </w:r>
          </w:p>
        </w:tc>
        <w:tc>
          <w:tcPr>
            <w:tcW w:w="980" w:type="dxa"/>
            <w:vAlign w:val="bottom"/>
          </w:tcPr>
          <w:p>
            <w:pPr>
              <w:spacing w:after="0"/>
              <w:rPr>
                <w:sz w:val="21"/>
                <w:szCs w:val="21"/>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r>
      <w:tr>
        <w:trPr>
          <w:trHeight w:val="263"/>
        </w:trPr>
        <w:tc>
          <w:tcPr>
            <w:tcW w:w="788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Property transaction adjustments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980" w:type="dxa"/>
            <w:vAlign w:val="bottom"/>
            <w:shd w:val="clear" w:color="auto" w:fill="CFF0FC"/>
          </w:tcPr>
          <w:p>
            <w:pPr>
              <w:spacing w:after="0"/>
              <w:rPr>
                <w:sz w:val="22"/>
                <w:szCs w:val="22"/>
                <w:color w:val="auto"/>
              </w:rPr>
            </w:pPr>
          </w:p>
        </w:tc>
        <w:tc>
          <w:tcPr>
            <w:tcW w:w="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6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r>
      <w:tr>
        <w:trPr>
          <w:trHeight w:val="257"/>
        </w:trPr>
        <w:tc>
          <w:tcPr>
            <w:tcW w:w="78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Non-comparable hotel results, net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³</w:t>
            </w:r>
            <w:r>
              <w:rPr>
                <w:rFonts w:ascii="MS PGothic" w:cs="MS PGothic" w:eastAsia="MS PGothic" w:hAnsi="MS PGothic"/>
                <w:sz w:val="18"/>
                <w:szCs w:val="18"/>
                <w:color w:val="auto"/>
              </w:rPr>
              <w:t>⁾</w:t>
            </w:r>
          </w:p>
        </w:tc>
        <w:tc>
          <w:tcPr>
            <w:tcW w:w="980" w:type="dxa"/>
            <w:vAlign w:val="bottom"/>
          </w:tcPr>
          <w:p>
            <w:pPr>
              <w:spacing w:after="0"/>
              <w:rPr>
                <w:sz w:val="22"/>
                <w:szCs w:val="22"/>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r>
      <w:tr>
        <w:trPr>
          <w:trHeight w:val="256"/>
        </w:trPr>
        <w:tc>
          <w:tcPr>
            <w:tcW w:w="7880" w:type="dxa"/>
            <w:vAlign w:val="bottom"/>
            <w:shd w:val="clear" w:color="auto" w:fill="CFF0FC"/>
          </w:tcPr>
          <w:p>
            <w:pPr>
              <w:ind w:left="20"/>
              <w:spacing w:after="0" w:line="256" w:lineRule="exact"/>
              <w:rPr>
                <w:sz w:val="20"/>
                <w:szCs w:val="20"/>
                <w:color w:val="auto"/>
              </w:rPr>
            </w:pPr>
            <w:r>
              <w:rPr>
                <w:rFonts w:ascii="Times New Roman" w:cs="Times New Roman" w:eastAsia="Times New Roman" w:hAnsi="Times New Roman"/>
                <w:sz w:val="18"/>
                <w:szCs w:val="18"/>
                <w:color w:val="auto"/>
              </w:rPr>
              <w:t>Condominium sales</w:t>
            </w:r>
            <w:r>
              <w:rPr>
                <w:rFonts w:ascii="Times New Roman" w:cs="Times New Roman" w:eastAsia="Times New Roman" w:hAnsi="Times New Roman"/>
                <w:sz w:val="23"/>
                <w:szCs w:val="23"/>
                <w:color w:val="auto"/>
                <w:vertAlign w:val="superscript"/>
              </w:rPr>
              <w:t>(4)</w:t>
            </w:r>
          </w:p>
        </w:tc>
        <w:tc>
          <w:tcPr>
            <w:tcW w:w="98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Comparable hotel EBITDA</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1,694</w:t>
            </w:r>
          </w:p>
        </w:tc>
        <w:tc>
          <w:tcPr>
            <w:tcW w:w="80" w:type="dxa"/>
            <w:vAlign w:val="bottom"/>
          </w:tcPr>
          <w:p>
            <w:pPr>
              <w:spacing w:after="0"/>
              <w:rPr>
                <w:sz w:val="21"/>
                <w:szCs w:val="21"/>
                <w:color w:val="auto"/>
              </w:rPr>
            </w:pPr>
          </w:p>
        </w:tc>
        <w:tc>
          <w:tcPr>
            <w:tcW w:w="10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1,653</w:t>
            </w:r>
          </w:p>
        </w:tc>
      </w:tr>
      <w:tr>
        <w:trPr>
          <w:trHeight w:val="20"/>
        </w:trPr>
        <w:tc>
          <w:tcPr>
            <w:tcW w:w="7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w:t>
      </w:r>
    </w:p>
    <w:p>
      <w:pPr>
        <w:spacing w:after="0" w:line="2" w:lineRule="exact"/>
        <w:rPr>
          <w:sz w:val="20"/>
          <w:szCs w:val="20"/>
          <w:color w:val="auto"/>
        </w:rPr>
      </w:pPr>
    </w:p>
    <w:p>
      <w:pPr>
        <w:ind w:left="660" w:right="40" w:hanging="652"/>
        <w:spacing w:after="0" w:line="280" w:lineRule="auto"/>
        <w:tabs>
          <w:tab w:leader="none" w:pos="65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Profit margins are calculated by dividing the applicable operating profit by the related revenue amount. GAAP profit margins are calculated using amounts presented in the consolidated statements of operations. Comparable hotel margins are calculated using amounts presented in the following tables, which include reconciliations to the applicable GAAP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Year ended December 31, 2025</w:t>
            </w: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w w:val="93"/>
              </w:rPr>
              <w:t>Property</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3"/>
                <w:szCs w:val="13"/>
                <w:color w:val="auto"/>
                <w:w w:val="97"/>
              </w:rPr>
              <w:t>Non-</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color w:val="auto"/>
                <w:w w:val="98"/>
              </w:rPr>
              <w:t>Depreciation</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w w:val="98"/>
              </w:rPr>
              <w:t>Property</w:t>
            </w: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3"/>
                <w:szCs w:val="13"/>
                <w:color w:val="auto"/>
                <w:w w:val="97"/>
              </w:rPr>
              <w:t>Non-</w:t>
            </w:r>
          </w:p>
        </w:tc>
        <w:tc>
          <w:tcPr>
            <w:tcW w:w="8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color w:val="auto"/>
                <w:w w:val="98"/>
              </w:rPr>
              <w:t>Depreciation</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GAAP</w:t>
            </w: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color w:val="auto"/>
                <w:w w:val="95"/>
              </w:rPr>
              <w:t>comparable</w:t>
            </w: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auto"/>
              </w:rPr>
              <w:t>Condominium</w:t>
            </w: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Comparable</w:t>
            </w:r>
          </w:p>
        </w:tc>
        <w:tc>
          <w:tcPr>
            <w:tcW w:w="120" w:type="dxa"/>
            <w:vAlign w:val="bottom"/>
          </w:tcPr>
          <w:p>
            <w:pPr>
              <w:spacing w:after="0"/>
              <w:rPr>
                <w:sz w:val="10"/>
                <w:szCs w:val="10"/>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GAAP</w:t>
            </w: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color w:val="auto"/>
                <w:w w:val="98"/>
              </w:rPr>
              <w:t>comparable</w:t>
            </w:r>
          </w:p>
        </w:tc>
        <w:tc>
          <w:tcPr>
            <w:tcW w:w="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8"/>
              </w:rPr>
              <w:t>Comparable</w:t>
            </w:r>
          </w:p>
        </w:tc>
        <w:tc>
          <w:tcPr>
            <w:tcW w:w="0" w:type="dxa"/>
            <w:vAlign w:val="bottom"/>
          </w:tcPr>
          <w:p>
            <w:pPr>
              <w:spacing w:after="0"/>
              <w:rPr>
                <w:sz w:val="1"/>
                <w:szCs w:val="1"/>
                <w:color w:val="auto"/>
              </w:rPr>
            </w:pPr>
          </w:p>
        </w:tc>
      </w:tr>
      <w:tr>
        <w:trPr>
          <w:trHeight w:val="131"/>
        </w:trPr>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color w:val="auto"/>
                <w:w w:val="94"/>
              </w:rPr>
              <w:t>transaction</w:t>
            </w: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color w:val="auto"/>
                <w:w w:val="99"/>
              </w:rPr>
              <w:t>hotel</w:t>
            </w:r>
          </w:p>
        </w:tc>
        <w:tc>
          <w:tcPr>
            <w:tcW w:w="8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color w:val="auto"/>
                <w:w w:val="98"/>
              </w:rPr>
              <w:t>and corporate</w:t>
            </w: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color w:val="auto"/>
                <w:w w:val="94"/>
              </w:rPr>
              <w:t>transaction</w:t>
            </w: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color w:val="auto"/>
                <w:w w:val="92"/>
              </w:rPr>
              <w:t>hotel</w:t>
            </w:r>
          </w:p>
        </w:tc>
        <w:tc>
          <w:tcPr>
            <w:tcW w:w="80" w:type="dxa"/>
            <w:vAlign w:val="bottom"/>
          </w:tcPr>
          <w:p>
            <w:pPr>
              <w:spacing w:after="0"/>
              <w:rPr>
                <w:sz w:val="11"/>
                <w:szCs w:val="11"/>
                <w:color w:val="auto"/>
              </w:rPr>
            </w:pPr>
          </w:p>
        </w:tc>
        <w:tc>
          <w:tcPr>
            <w:tcW w:w="86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color w:val="auto"/>
                <w:w w:val="98"/>
              </w:rPr>
              <w:t>and corporate</w:t>
            </w: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3"/>
              </w:rPr>
              <w:t>Results</w:t>
            </w:r>
          </w:p>
        </w:tc>
        <w:tc>
          <w:tcPr>
            <w:tcW w:w="920" w:type="dxa"/>
            <w:vAlign w:val="bottom"/>
            <w:gridSpan w:val="3"/>
          </w:tcPr>
          <w:p>
            <w:pPr>
              <w:jc w:val="center"/>
              <w:ind w:right="100"/>
              <w:spacing w:after="0" w:line="150" w:lineRule="exact"/>
              <w:rPr>
                <w:sz w:val="20"/>
                <w:szCs w:val="20"/>
                <w:color w:val="auto"/>
              </w:rPr>
            </w:pPr>
            <w:r>
              <w:rPr>
                <w:rFonts w:ascii="Times New Roman" w:cs="Times New Roman" w:eastAsia="Times New Roman" w:hAnsi="Times New Roman"/>
                <w:sz w:val="13"/>
                <w:szCs w:val="13"/>
                <w:color w:val="auto"/>
                <w:w w:val="97"/>
              </w:rPr>
              <w:t>adjustments</w:t>
            </w:r>
            <w:r>
              <w:rPr>
                <w:rFonts w:ascii="MS PGothic" w:cs="MS PGothic" w:eastAsia="MS PGothic" w:hAnsi="MS PGothic"/>
                <w:sz w:val="13"/>
                <w:szCs w:val="13"/>
                <w:color w:val="auto"/>
                <w:w w:val="97"/>
              </w:rPr>
              <w:t>⁽</w:t>
            </w:r>
            <w:r>
              <w:rPr>
                <w:rFonts w:ascii="Times New Roman" w:cs="Times New Roman" w:eastAsia="Times New Roman" w:hAnsi="Times New Roman"/>
                <w:sz w:val="13"/>
                <w:szCs w:val="13"/>
                <w:color w:val="auto"/>
                <w:w w:val="97"/>
              </w:rPr>
              <w:t>²</w:t>
            </w:r>
            <w:r>
              <w:rPr>
                <w:rFonts w:ascii="MS PGothic" w:cs="MS PGothic" w:eastAsia="MS PGothic" w:hAnsi="MS PGothic"/>
                <w:sz w:val="13"/>
                <w:szCs w:val="13"/>
                <w:color w:val="auto"/>
                <w:w w:val="97"/>
              </w:rPr>
              <w:t>⁾</w:t>
            </w:r>
          </w:p>
        </w:tc>
        <w:tc>
          <w:tcPr>
            <w:tcW w:w="900" w:type="dxa"/>
            <w:vAlign w:val="bottom"/>
            <w:gridSpan w:val="3"/>
          </w:tcPr>
          <w:p>
            <w:pPr>
              <w:jc w:val="center"/>
              <w:ind w:right="80"/>
              <w:spacing w:after="0" w:line="150" w:lineRule="exact"/>
              <w:rPr>
                <w:sz w:val="20"/>
                <w:szCs w:val="20"/>
                <w:color w:val="auto"/>
              </w:rPr>
            </w:pPr>
            <w:r>
              <w:rPr>
                <w:rFonts w:ascii="Times New Roman" w:cs="Times New Roman" w:eastAsia="Times New Roman" w:hAnsi="Times New Roman"/>
                <w:sz w:val="13"/>
                <w:szCs w:val="13"/>
                <w:color w:val="auto"/>
                <w:w w:val="95"/>
              </w:rPr>
              <w:t xml:space="preserve">results, net </w:t>
            </w:r>
            <w:r>
              <w:rPr>
                <w:rFonts w:ascii="MS PGothic" w:cs="MS PGothic" w:eastAsia="MS PGothic" w:hAnsi="MS PGothic"/>
                <w:sz w:val="13"/>
                <w:szCs w:val="13"/>
                <w:color w:val="auto"/>
                <w:w w:val="95"/>
              </w:rPr>
              <w:t>⁽</w:t>
            </w:r>
            <w:r>
              <w:rPr>
                <w:rFonts w:ascii="Times New Roman" w:cs="Times New Roman" w:eastAsia="Times New Roman" w:hAnsi="Times New Roman"/>
                <w:sz w:val="13"/>
                <w:szCs w:val="13"/>
                <w:color w:val="auto"/>
                <w:w w:val="95"/>
              </w:rPr>
              <w:t>³</w:t>
            </w:r>
            <w:r>
              <w:rPr>
                <w:rFonts w:ascii="MS PGothic" w:cs="MS PGothic" w:eastAsia="MS PGothic" w:hAnsi="MS PGothic"/>
                <w:sz w:val="13"/>
                <w:szCs w:val="13"/>
                <w:color w:val="auto"/>
                <w:w w:val="9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sales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5"/>
              </w:rPr>
              <w:t>level items</w:t>
            </w:r>
          </w:p>
        </w:tc>
        <w:tc>
          <w:tcPr>
            <w:tcW w:w="10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hotel Results</w:t>
            </w:r>
          </w:p>
        </w:tc>
        <w:tc>
          <w:tcPr>
            <w:tcW w:w="120" w:type="dxa"/>
            <w:vAlign w:val="bottom"/>
          </w:tcPr>
          <w:p>
            <w:pPr>
              <w:spacing w:after="0"/>
              <w:rPr>
                <w:sz w:val="15"/>
                <w:szCs w:val="15"/>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Results</w:t>
            </w:r>
          </w:p>
        </w:tc>
        <w:tc>
          <w:tcPr>
            <w:tcW w:w="920" w:type="dxa"/>
            <w:vAlign w:val="bottom"/>
            <w:gridSpan w:val="3"/>
          </w:tcPr>
          <w:p>
            <w:pPr>
              <w:jc w:val="center"/>
              <w:ind w:right="60"/>
              <w:spacing w:after="0" w:line="150" w:lineRule="exact"/>
              <w:rPr>
                <w:sz w:val="20"/>
                <w:szCs w:val="20"/>
                <w:color w:val="auto"/>
              </w:rPr>
            </w:pPr>
            <w:r>
              <w:rPr>
                <w:rFonts w:ascii="Times New Roman" w:cs="Times New Roman" w:eastAsia="Times New Roman" w:hAnsi="Times New Roman"/>
                <w:sz w:val="13"/>
                <w:szCs w:val="13"/>
                <w:color w:val="auto"/>
                <w:w w:val="97"/>
              </w:rPr>
              <w:t>adjustments</w:t>
            </w:r>
            <w:r>
              <w:rPr>
                <w:rFonts w:ascii="MS PGothic" w:cs="MS PGothic" w:eastAsia="MS PGothic" w:hAnsi="MS PGothic"/>
                <w:sz w:val="13"/>
                <w:szCs w:val="13"/>
                <w:color w:val="auto"/>
                <w:w w:val="97"/>
              </w:rPr>
              <w:t>⁽</w:t>
            </w:r>
            <w:r>
              <w:rPr>
                <w:rFonts w:ascii="Times New Roman" w:cs="Times New Roman" w:eastAsia="Times New Roman" w:hAnsi="Times New Roman"/>
                <w:sz w:val="13"/>
                <w:szCs w:val="13"/>
                <w:color w:val="auto"/>
                <w:w w:val="97"/>
              </w:rPr>
              <w:t>²</w:t>
            </w:r>
            <w:r>
              <w:rPr>
                <w:rFonts w:ascii="MS PGothic" w:cs="MS PGothic" w:eastAsia="MS PGothic" w:hAnsi="MS PGothic"/>
                <w:sz w:val="13"/>
                <w:szCs w:val="13"/>
                <w:color w:val="auto"/>
                <w:w w:val="97"/>
              </w:rPr>
              <w:t>⁾</w:t>
            </w:r>
          </w:p>
        </w:tc>
        <w:tc>
          <w:tcPr>
            <w:tcW w:w="920" w:type="dxa"/>
            <w:vAlign w:val="bottom"/>
            <w:gridSpan w:val="3"/>
          </w:tcPr>
          <w:p>
            <w:pPr>
              <w:jc w:val="center"/>
              <w:ind w:right="80"/>
              <w:spacing w:after="0" w:line="150" w:lineRule="exact"/>
              <w:rPr>
                <w:sz w:val="20"/>
                <w:szCs w:val="20"/>
                <w:color w:val="auto"/>
              </w:rPr>
            </w:pPr>
            <w:r>
              <w:rPr>
                <w:rFonts w:ascii="Times New Roman" w:cs="Times New Roman" w:eastAsia="Times New Roman" w:hAnsi="Times New Roman"/>
                <w:sz w:val="13"/>
                <w:szCs w:val="13"/>
                <w:color w:val="auto"/>
                <w:w w:val="98"/>
              </w:rPr>
              <w:t xml:space="preserve">results, net </w:t>
            </w:r>
            <w:r>
              <w:rPr>
                <w:rFonts w:ascii="MS PGothic" w:cs="MS PGothic" w:eastAsia="MS PGothic" w:hAnsi="MS PGothic"/>
                <w:sz w:val="13"/>
                <w:szCs w:val="13"/>
                <w:color w:val="auto"/>
                <w:w w:val="98"/>
              </w:rPr>
              <w:t>⁽</w:t>
            </w:r>
            <w:r>
              <w:rPr>
                <w:rFonts w:ascii="Times New Roman" w:cs="Times New Roman" w:eastAsia="Times New Roman" w:hAnsi="Times New Roman"/>
                <w:sz w:val="13"/>
                <w:szCs w:val="13"/>
                <w:color w:val="auto"/>
                <w:w w:val="98"/>
              </w:rPr>
              <w:t>³</w:t>
            </w:r>
            <w:r>
              <w:rPr>
                <w:rFonts w:ascii="MS PGothic" w:cs="MS PGothic" w:eastAsia="MS PGothic" w:hAnsi="MS PGothic"/>
                <w:sz w:val="13"/>
                <w:szCs w:val="13"/>
                <w:color w:val="auto"/>
                <w:w w:val="98"/>
              </w:rPr>
              <w:t>⁾</w:t>
            </w:r>
          </w:p>
        </w:tc>
        <w:tc>
          <w:tcPr>
            <w:tcW w:w="8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5"/>
              </w:rPr>
              <w:t>level items</w:t>
            </w:r>
          </w:p>
        </w:tc>
        <w:tc>
          <w:tcPr>
            <w:tcW w:w="100" w:type="dxa"/>
            <w:vAlign w:val="bottom"/>
          </w:tcPr>
          <w:p>
            <w:pPr>
              <w:spacing w:after="0"/>
              <w:rPr>
                <w:sz w:val="15"/>
                <w:szCs w:val="15"/>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5"/>
              </w:rPr>
              <w:t>hotel Results</w:t>
            </w:r>
          </w:p>
        </w:tc>
        <w:tc>
          <w:tcPr>
            <w:tcW w:w="0" w:type="dxa"/>
            <w:vAlign w:val="bottom"/>
          </w:tcPr>
          <w:p>
            <w:pPr>
              <w:spacing w:after="0"/>
              <w:rPr>
                <w:sz w:val="1"/>
                <w:szCs w:val="1"/>
                <w:color w:val="auto"/>
              </w:rPr>
            </w:pPr>
          </w:p>
        </w:tc>
      </w:tr>
      <w:tr>
        <w:trPr>
          <w:trHeight w:val="153"/>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Room</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3,608</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FF0FC"/>
            </w:tcBorders>
            <w:shd w:val="clear" w:color="auto" w:fill="CFF0FC"/>
          </w:tcPr>
          <w:p>
            <w:pPr>
              <w:jc w:val="center"/>
              <w:ind w:left="377"/>
              <w:spacing w:after="0"/>
              <w:rPr>
                <w:sz w:val="20"/>
                <w:szCs w:val="20"/>
                <w:color w:val="auto"/>
              </w:rPr>
            </w:pPr>
            <w:r>
              <w:rPr>
                <w:rFonts w:ascii="Times New Roman" w:cs="Times New Roman" w:eastAsia="Times New Roman" w:hAnsi="Times New Roman"/>
                <w:sz w:val="13"/>
                <w:szCs w:val="13"/>
                <w:color w:val="auto"/>
                <w:w w:val="92"/>
              </w:rPr>
              <w:t>(56)</w:t>
            </w:r>
          </w:p>
        </w:tc>
        <w:tc>
          <w:tcPr>
            <w:tcW w:w="8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3,507</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3,426</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3,387</w:t>
            </w:r>
          </w:p>
        </w:tc>
        <w:tc>
          <w:tcPr>
            <w:tcW w:w="0" w:type="dxa"/>
            <w:vAlign w:val="bottom"/>
          </w:tcPr>
          <w:p>
            <w:pPr>
              <w:spacing w:after="0"/>
              <w:rPr>
                <w:sz w:val="1"/>
                <w:szCs w:val="1"/>
                <w:color w:val="auto"/>
              </w:rPr>
            </w:pPr>
          </w:p>
        </w:tc>
      </w:tr>
      <w:tr>
        <w:trPr>
          <w:trHeight w:val="173"/>
        </w:trPr>
        <w:tc>
          <w:tcPr>
            <w:tcW w:w="1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Food and beverage</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left="377"/>
              <w:spacing w:after="0"/>
              <w:rPr>
                <w:sz w:val="20"/>
                <w:szCs w:val="20"/>
                <w:color w:val="auto"/>
              </w:rPr>
            </w:pPr>
            <w:r>
              <w:rPr>
                <w:rFonts w:ascii="Times New Roman" w:cs="Times New Roman" w:eastAsia="Times New Roman" w:hAnsi="Times New Roman"/>
                <w:sz w:val="13"/>
                <w:szCs w:val="13"/>
                <w:color w:val="auto"/>
                <w:w w:val="92"/>
              </w:rPr>
              <w:t>(27)</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1,703</w:t>
            </w:r>
          </w:p>
        </w:tc>
        <w:tc>
          <w:tcPr>
            <w:tcW w:w="0" w:type="dxa"/>
            <w:vAlign w:val="bottom"/>
          </w:tcPr>
          <w:p>
            <w:pPr>
              <w:spacing w:after="0"/>
              <w:rPr>
                <w:sz w:val="1"/>
                <w:szCs w:val="1"/>
                <w:color w:val="auto"/>
              </w:rPr>
            </w:pPr>
          </w:p>
        </w:tc>
      </w:tr>
      <w:tr>
        <w:trPr>
          <w:trHeight w:val="29"/>
        </w:trPr>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604</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center"/>
              <w:ind w:left="377"/>
              <w:spacing w:after="0"/>
              <w:rPr>
                <w:sz w:val="20"/>
                <w:szCs w:val="20"/>
                <w:color w:val="auto"/>
              </w:rPr>
            </w:pPr>
            <w:r>
              <w:rPr>
                <w:rFonts w:ascii="Times New Roman" w:cs="Times New Roman" w:eastAsia="Times New Roman" w:hAnsi="Times New Roman"/>
                <w:sz w:val="13"/>
                <w:szCs w:val="13"/>
                <w:color w:val="auto"/>
                <w:w w:val="92"/>
              </w:rPr>
              <w:t>(13)</w:t>
            </w:r>
          </w:p>
        </w:tc>
        <w:tc>
          <w:tcPr>
            <w:tcW w:w="8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587</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542</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0" w:type="dxa"/>
            <w:vAlign w:val="bottom"/>
          </w:tcPr>
          <w:p>
            <w:pPr>
              <w:spacing w:after="0"/>
              <w:rPr>
                <w:sz w:val="1"/>
                <w:szCs w:val="1"/>
                <w:color w:val="auto"/>
              </w:rPr>
            </w:pPr>
          </w:p>
        </w:tc>
      </w:tr>
      <w:tr>
        <w:trPr>
          <w:trHeight w:val="173"/>
        </w:trPr>
        <w:tc>
          <w:tcPr>
            <w:tcW w:w="1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Condominium sales</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center"/>
              <w:ind w:left="3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142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4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Total revenues</w:t>
            </w:r>
          </w:p>
        </w:tc>
        <w:tc>
          <w:tcPr>
            <w:tcW w:w="1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6,114</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center"/>
              <w:ind w:left="377"/>
              <w:spacing w:after="0"/>
              <w:rPr>
                <w:sz w:val="20"/>
                <w:szCs w:val="20"/>
                <w:color w:val="auto"/>
              </w:rPr>
            </w:pPr>
            <w:r>
              <w:rPr>
                <w:rFonts w:ascii="Times New Roman" w:cs="Times New Roman" w:eastAsia="Times New Roman" w:hAnsi="Times New Roman"/>
                <w:sz w:val="13"/>
                <w:szCs w:val="13"/>
                <w:color w:val="auto"/>
                <w:w w:val="92"/>
              </w:rPr>
              <w:t>(96)</w:t>
            </w:r>
          </w:p>
        </w:tc>
        <w:tc>
          <w:tcPr>
            <w:tcW w:w="8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5,856</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5,684</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5,637</w:t>
            </w:r>
          </w:p>
        </w:tc>
        <w:tc>
          <w:tcPr>
            <w:tcW w:w="0" w:type="dxa"/>
            <w:vAlign w:val="bottom"/>
          </w:tcPr>
          <w:p>
            <w:pPr>
              <w:spacing w:after="0"/>
              <w:rPr>
                <w:sz w:val="1"/>
                <w:szCs w:val="1"/>
                <w:color w:val="auto"/>
              </w:rPr>
            </w:pPr>
          </w:p>
        </w:tc>
      </w:tr>
      <w:tr>
        <w:trPr>
          <w:trHeight w:val="153"/>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Expenses</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Room</w:t>
            </w:r>
          </w:p>
        </w:tc>
        <w:tc>
          <w:tcPr>
            <w:tcW w:w="1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906</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center"/>
              <w:ind w:left="377"/>
              <w:spacing w:after="0"/>
              <w:rPr>
                <w:sz w:val="20"/>
                <w:szCs w:val="20"/>
                <w:color w:val="auto"/>
              </w:rPr>
            </w:pPr>
            <w:r>
              <w:rPr>
                <w:rFonts w:ascii="Times New Roman" w:cs="Times New Roman" w:eastAsia="Times New Roman" w:hAnsi="Times New Roman"/>
                <w:sz w:val="13"/>
                <w:szCs w:val="13"/>
                <w:color w:val="auto"/>
                <w:w w:val="92"/>
              </w:rPr>
              <w:t>(12)</w:t>
            </w:r>
          </w:p>
        </w:tc>
        <w:tc>
          <w:tcPr>
            <w:tcW w:w="8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884</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844</w:t>
            </w:r>
          </w:p>
        </w:tc>
        <w:tc>
          <w:tcPr>
            <w:tcW w:w="0" w:type="dxa"/>
            <w:vAlign w:val="bottom"/>
          </w:tcPr>
          <w:p>
            <w:pPr>
              <w:spacing w:after="0"/>
              <w:rPr>
                <w:sz w:val="1"/>
                <w:szCs w:val="1"/>
                <w:color w:val="auto"/>
              </w:rPr>
            </w:pPr>
          </w:p>
        </w:tc>
      </w:tr>
      <w:tr>
        <w:trPr>
          <w:trHeight w:val="173"/>
        </w:trPr>
        <w:tc>
          <w:tcPr>
            <w:tcW w:w="1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Food and beverage</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left="377"/>
              <w:spacing w:after="0"/>
              <w:rPr>
                <w:sz w:val="20"/>
                <w:szCs w:val="20"/>
                <w:color w:val="auto"/>
              </w:rPr>
            </w:pPr>
            <w:r>
              <w:rPr>
                <w:rFonts w:ascii="Times New Roman" w:cs="Times New Roman" w:eastAsia="Times New Roman" w:hAnsi="Times New Roman"/>
                <w:sz w:val="13"/>
                <w:szCs w:val="13"/>
                <w:color w:val="auto"/>
                <w:w w:val="92"/>
              </w:rPr>
              <w:t>(21)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0" w:type="dxa"/>
            <w:vAlign w:val="bottom"/>
          </w:tcPr>
          <w:p>
            <w:pPr>
              <w:spacing w:after="0"/>
              <w:rPr>
                <w:sz w:val="1"/>
                <w:szCs w:val="1"/>
                <w:color w:val="auto"/>
              </w:rPr>
            </w:pPr>
          </w:p>
        </w:tc>
      </w:tr>
      <w:tr>
        <w:trPr>
          <w:trHeight w:val="29"/>
        </w:trPr>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2,154</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center"/>
              <w:ind w:left="377"/>
              <w:spacing w:after="0"/>
              <w:rPr>
                <w:sz w:val="20"/>
                <w:szCs w:val="20"/>
                <w:color w:val="auto"/>
              </w:rPr>
            </w:pPr>
            <w:r>
              <w:rPr>
                <w:rFonts w:ascii="Times New Roman" w:cs="Times New Roman" w:eastAsia="Times New Roman" w:hAnsi="Times New Roman"/>
                <w:sz w:val="13"/>
                <w:szCs w:val="13"/>
                <w:color w:val="auto"/>
                <w:w w:val="92"/>
              </w:rPr>
              <w:t>(39)</w:t>
            </w:r>
          </w:p>
        </w:tc>
        <w:tc>
          <w:tcPr>
            <w:tcW w:w="8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2,086</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2,048</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2,029</w:t>
            </w:r>
          </w:p>
        </w:tc>
        <w:tc>
          <w:tcPr>
            <w:tcW w:w="0" w:type="dxa"/>
            <w:vAlign w:val="bottom"/>
          </w:tcPr>
          <w:p>
            <w:pPr>
              <w:spacing w:after="0"/>
              <w:rPr>
                <w:sz w:val="1"/>
                <w:szCs w:val="1"/>
                <w:color w:val="auto"/>
              </w:rPr>
            </w:pPr>
          </w:p>
        </w:tc>
      </w:tr>
      <w:tr>
        <w:trPr>
          <w:trHeight w:val="157"/>
        </w:trPr>
        <w:tc>
          <w:tcPr>
            <w:tcW w:w="1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w:t>
            </w: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795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center"/>
              <w:ind w:left="3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spacing w:after="0"/>
              <w:rPr>
                <w:sz w:val="13"/>
                <w:szCs w:val="13"/>
                <w:color w:val="auto"/>
              </w:rPr>
            </w:pP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(795)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762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(762)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1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amortization</w:t>
            </w: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Cost of goods sold</w:t>
            </w:r>
          </w:p>
        </w:tc>
        <w:tc>
          <w:tcPr>
            <w:tcW w:w="12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gridSpan w:val="2"/>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gridSpan w:val="2"/>
            <w:shd w:val="clear" w:color="auto" w:fill="CFF0FC"/>
          </w:tcPr>
          <w:p>
            <w:pPr>
              <w:jc w:val="center"/>
              <w:ind w:left="3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gridSpan w:val="2"/>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1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Corporate and other</w:t>
            </w: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center"/>
              <w:ind w:left="3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spacing w:after="0"/>
              <w:rPr>
                <w:sz w:val="13"/>
                <w:szCs w:val="13"/>
                <w:color w:val="auto"/>
              </w:rPr>
            </w:pP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1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expenses</w:t>
            </w: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Net gain on insurance</w:t>
            </w:r>
          </w:p>
        </w:tc>
        <w:tc>
          <w:tcPr>
            <w:tcW w:w="120" w:type="dxa"/>
            <w:vAlign w:val="bottom"/>
            <w:shd w:val="clear" w:color="auto" w:fill="CFF0FC"/>
          </w:tcPr>
          <w:p>
            <w:pPr>
              <w:spacing w:after="0"/>
              <w:rPr>
                <w:sz w:val="14"/>
                <w:szCs w:val="14"/>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vMerge w:val="restart"/>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20" w:type="dxa"/>
            <w:vAlign w:val="bottom"/>
            <w:vMerge w:val="restart"/>
            <w:shd w:val="clear" w:color="auto" w:fill="CFF0FC"/>
          </w:tcPr>
          <w:p>
            <w:pPr>
              <w:jc w:val="center"/>
              <w:ind w:left="417"/>
              <w:spacing w:after="0"/>
              <w:rPr>
                <w:sz w:val="20"/>
                <w:szCs w:val="20"/>
                <w:color w:val="auto"/>
              </w:rPr>
            </w:pPr>
            <w:r>
              <w:rPr>
                <w:rFonts w:ascii="Times New Roman" w:cs="Times New Roman" w:eastAsia="Times New Roman" w:hAnsi="Times New Roman"/>
                <w:sz w:val="13"/>
                <w:szCs w:val="13"/>
                <w:color w:val="auto"/>
                <w:w w:val="91"/>
              </w:rPr>
              <w:t>24</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34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20" w:type="dxa"/>
            <w:vAlign w:val="bottom"/>
            <w:vMerge w:val="restart"/>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74"/>
        </w:trPr>
        <w:tc>
          <w:tcPr>
            <w:tcW w:w="1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settlements</w:t>
            </w:r>
          </w:p>
        </w:tc>
        <w:tc>
          <w:tcPr>
            <w:tcW w:w="120" w:type="dxa"/>
            <w:vAlign w:val="bottom"/>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4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expenses</w:t>
            </w: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5,259</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center"/>
              <w:ind w:left="377"/>
              <w:spacing w:after="0"/>
              <w:rPr>
                <w:sz w:val="20"/>
                <w:szCs w:val="20"/>
                <w:color w:val="auto"/>
              </w:rPr>
            </w:pPr>
            <w:r>
              <w:rPr>
                <w:rFonts w:ascii="Times New Roman" w:cs="Times New Roman" w:eastAsia="Times New Roman" w:hAnsi="Times New Roman"/>
                <w:sz w:val="13"/>
                <w:szCs w:val="13"/>
                <w:color w:val="auto"/>
                <w:w w:val="92"/>
              </w:rPr>
              <w:t>(48)</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(919)</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4,162</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4,809</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(815)</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3,984</w:t>
            </w:r>
          </w:p>
        </w:tc>
        <w:tc>
          <w:tcPr>
            <w:tcW w:w="0" w:type="dxa"/>
            <w:vAlign w:val="bottom"/>
          </w:tcPr>
          <w:p>
            <w:pPr>
              <w:spacing w:after="0"/>
              <w:rPr>
                <w:sz w:val="1"/>
                <w:szCs w:val="1"/>
                <w:color w:val="auto"/>
              </w:rPr>
            </w:pPr>
          </w:p>
        </w:tc>
      </w:tr>
      <w:tr>
        <w:trPr>
          <w:trHeight w:val="29"/>
        </w:trPr>
        <w:tc>
          <w:tcPr>
            <w:tcW w:w="142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42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color w:val="auto"/>
              </w:rPr>
              <w:t>Operating Profit -</w:t>
            </w:r>
          </w:p>
        </w:tc>
        <w:tc>
          <w:tcPr>
            <w:tcW w:w="1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420" w:type="dxa"/>
            <w:vAlign w:val="bottom"/>
            <w:shd w:val="clear" w:color="auto" w:fill="CFF0FC"/>
          </w:tcPr>
          <w:p>
            <w:pPr>
              <w:ind w:left="100"/>
              <w:spacing w:after="0" w:line="131" w:lineRule="exact"/>
              <w:rPr>
                <w:sz w:val="20"/>
                <w:szCs w:val="20"/>
                <w:color w:val="auto"/>
              </w:rPr>
            </w:pPr>
            <w:r>
              <w:rPr>
                <w:rFonts w:ascii="Times New Roman" w:cs="Times New Roman" w:eastAsia="Times New Roman" w:hAnsi="Times New Roman"/>
                <w:sz w:val="13"/>
                <w:szCs w:val="13"/>
                <w:color w:val="auto"/>
              </w:rPr>
              <w:t>Comparable hotel</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855</w:t>
            </w:r>
          </w:p>
        </w:tc>
        <w:tc>
          <w:tcPr>
            <w:tcW w:w="8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shd w:val="clear" w:color="auto" w:fill="CFF0FC"/>
          </w:tcPr>
          <w:p>
            <w:pPr>
              <w:jc w:val="center"/>
              <w:ind w:left="377"/>
              <w:spacing w:after="0"/>
              <w:rPr>
                <w:sz w:val="20"/>
                <w:szCs w:val="20"/>
                <w:color w:val="auto"/>
              </w:rPr>
            </w:pPr>
            <w:r>
              <w:rPr>
                <w:rFonts w:ascii="Times New Roman" w:cs="Times New Roman" w:eastAsia="Times New Roman" w:hAnsi="Times New Roman"/>
                <w:sz w:val="13"/>
                <w:szCs w:val="13"/>
                <w:color w:val="auto"/>
                <w:w w:val="92"/>
              </w:rPr>
              <w:t>(48)</w:t>
            </w:r>
          </w:p>
        </w:tc>
        <w:tc>
          <w:tcPr>
            <w:tcW w:w="80" w:type="dxa"/>
            <w:vAlign w:val="bottom"/>
            <w:shd w:val="clear" w:color="auto" w:fill="CFF0FC"/>
          </w:tcPr>
          <w:p>
            <w:pPr>
              <w:spacing w:after="0"/>
              <w:rPr>
                <w:sz w:val="11"/>
                <w:szCs w:val="11"/>
                <w:color w:val="auto"/>
              </w:rPr>
            </w:pPr>
          </w:p>
        </w:tc>
        <w:tc>
          <w:tcPr>
            <w:tcW w:w="540" w:type="dxa"/>
            <w:vAlign w:val="bottom"/>
            <w:vMerge w:val="restart"/>
            <w:shd w:val="clear" w:color="auto" w:fill="CFF0FC"/>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919</w:t>
            </w:r>
          </w:p>
        </w:tc>
        <w:tc>
          <w:tcPr>
            <w:tcW w:w="8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1,694</w:t>
            </w:r>
          </w:p>
        </w:tc>
        <w:tc>
          <w:tcPr>
            <w:tcW w:w="8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875</w:t>
            </w:r>
          </w:p>
        </w:tc>
        <w:tc>
          <w:tcPr>
            <w:tcW w:w="8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FF0FC"/>
          </w:tcPr>
          <w:p>
            <w:pPr>
              <w:spacing w:after="0"/>
              <w:rPr>
                <w:sz w:val="11"/>
                <w:szCs w:val="11"/>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815</w:t>
            </w:r>
          </w:p>
        </w:tc>
        <w:tc>
          <w:tcPr>
            <w:tcW w:w="8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1,653</w:t>
            </w:r>
          </w:p>
        </w:tc>
        <w:tc>
          <w:tcPr>
            <w:tcW w:w="0" w:type="dxa"/>
            <w:vAlign w:val="bottom"/>
          </w:tcPr>
          <w:p>
            <w:pPr>
              <w:spacing w:after="0"/>
              <w:rPr>
                <w:sz w:val="1"/>
                <w:szCs w:val="1"/>
                <w:color w:val="auto"/>
              </w:rPr>
            </w:pPr>
          </w:p>
        </w:tc>
      </w:tr>
      <w:tr>
        <w:trPr>
          <w:trHeight w:val="173"/>
        </w:trPr>
        <w:tc>
          <w:tcPr>
            <w:tcW w:w="1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EBITDA</w:t>
            </w: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54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74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72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78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54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72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72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vMerge w:val="continue"/>
            <w:shd w:val="clear" w:color="auto" w:fill="CFF0FC"/>
          </w:tcPr>
          <w:p>
            <w:pPr>
              <w:spacing w:after="0"/>
              <w:rPr>
                <w:sz w:val="15"/>
                <w:szCs w:val="15"/>
                <w:color w:val="auto"/>
              </w:rPr>
            </w:pPr>
          </w:p>
        </w:tc>
        <w:tc>
          <w:tcPr>
            <w:tcW w:w="78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80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660" w:right="40" w:hanging="652"/>
        <w:spacing w:after="0" w:line="282" w:lineRule="auto"/>
        <w:tabs>
          <w:tab w:leader="none" w:pos="3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Property transaction adjustments represent the following items: (i) the elimination of results of operations of hotels sold or held-for-sale as of December 31, 2025, which operations are included in our consolidated statements of operations as continuing operations, and (ii) the addition of results for periods prior to our ownership for hotels acquired as of December 31, 2025.</w:t>
      </w:r>
    </w:p>
    <w:p>
      <w:pPr>
        <w:spacing w:after="0" w:line="147" w:lineRule="exact"/>
        <w:rPr>
          <w:rFonts w:ascii="Times New Roman" w:cs="Times New Roman" w:eastAsia="Times New Roman" w:hAnsi="Times New Roman"/>
          <w:sz w:val="14"/>
          <w:szCs w:val="14"/>
          <w:color w:val="auto"/>
        </w:rPr>
      </w:pPr>
    </w:p>
    <w:p>
      <w:pPr>
        <w:ind w:left="660" w:right="140" w:hanging="652"/>
        <w:spacing w:after="0" w:line="261" w:lineRule="auto"/>
        <w:tabs>
          <w:tab w:leader="none" w:pos="3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Non-comparable hotel results, net, includes the following items: (i) the results of operations of our non-comparable hotels, which operations are included in our consolidated statements of operations as continuing operations, and (ii) gains on business interruption proceeds covering lost revenues while the property was considered non-comparable.</w:t>
      </w:r>
    </w:p>
    <w:p>
      <w:pPr>
        <w:ind w:left="660" w:right="80" w:hanging="652"/>
        <w:spacing w:after="0" w:line="276" w:lineRule="auto"/>
        <w:tabs>
          <w:tab w:leader="none" w:pos="324"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 xml:space="preserve">Includes revenues and costs, including marketing expenses of approximately </w:t>
      </w:r>
      <w:r>
        <w:rPr>
          <w:rFonts w:ascii="Times New Roman" w:cs="Times New Roman" w:eastAsia="Times New Roman" w:hAnsi="Times New Roman"/>
          <w:sz w:val="14"/>
          <w:szCs w:val="14"/>
          <w:color w:val="auto"/>
        </w:rPr>
        <w:t>$2 million</w:t>
      </w:r>
      <w:r>
        <w:rPr>
          <w:rFonts w:ascii="Times New Roman" w:cs="Times New Roman" w:eastAsia="Times New Roman" w:hAnsi="Times New Roman"/>
          <w:sz w:val="13"/>
          <w:szCs w:val="13"/>
          <w:color w:val="auto"/>
        </w:rPr>
        <w:t>, related to the development and sale of condominium units adjacent to the Four Seasons Resort Orlando at Walt Disney World® Resort.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information in this section applies to both Host Inc. and Host L.P.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12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future income, cash flows and fair values with respect to financial instruments are dependent upon prevailing market interest rates. Market risk refers to the risk of loss from adverse changes in market prices and interest rates. We have no derivative financial instruments that are held for trading purposes. We use derivative financial instruments to manage, or hedge, interest rate risks. As of February 20, 2026, we do not have any interest rate derivatives outstanding.</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interest payments on 80% of our debt are fixed in nature. Valuations for mortgage debt and the credit facility are determined based on expected future payments, discounted at risk-adjusted rates. The senior notes are valued based on quoted market prices. If market rates of interest on our variable rate debt increase or decrease by 100 basis points, interest expense would increase or decrease, respectively, our earnings and cash flows by approximately $10 million in 2026. The table below presents scheduled maturities and related weighted average interest rates by expected maturity dates (in millions, except percentages):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2"/>
                <w:szCs w:val="2"/>
                <w:color w:val="auto"/>
              </w:rPr>
            </w:pPr>
          </w:p>
        </w:tc>
        <w:tc>
          <w:tcPr>
            <w:tcW w:w="8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Fixed rate </w:t>
            </w:r>
            <w:r>
              <w:rPr>
                <w:rFonts w:ascii="MS PGothic" w:cs="MS PGothic" w:eastAsia="MS PGothic" w:hAnsi="MS PGothic"/>
                <w:sz w:val="23"/>
                <w:szCs w:val="23"/>
                <w:color w:val="auto"/>
                <w:vertAlign w:val="superscript"/>
              </w:rPr>
              <w:t>⁽</w:t>
            </w:r>
            <w:r>
              <w:rPr>
                <w:rFonts w:ascii="Times New Roman" w:cs="Times New Roman" w:eastAsia="Times New Roman" w:hAnsi="Times New Roman"/>
                <w:sz w:val="23"/>
                <w:szCs w:val="23"/>
                <w:color w:val="auto"/>
                <w:vertAlign w:val="superscript"/>
              </w:rPr>
              <w:t>¹</w:t>
            </w:r>
            <w:r>
              <w:rPr>
                <w:rFonts w:ascii="MS PGothic" w:cs="MS PGothic" w:eastAsia="MS PGothic" w:hAnsi="MS PGothic"/>
                <w:sz w:val="23"/>
                <w:szCs w:val="23"/>
                <w:color w:val="auto"/>
                <w:vertAlign w:val="superscript"/>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0" w:type="dxa"/>
            <w:vAlign w:val="bottom"/>
          </w:tcPr>
          <w:p>
            <w:pPr>
              <w:spacing w:after="0"/>
              <w:rPr>
                <w:sz w:val="1"/>
                <w:szCs w:val="1"/>
                <w:color w:val="auto"/>
              </w:rPr>
            </w:pPr>
          </w:p>
        </w:tc>
      </w:tr>
      <w:tr>
        <w:trPr>
          <w:trHeight w:val="257"/>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interest rate</w:t>
            </w: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820" w:type="dxa"/>
            <w:vAlign w:val="bottom"/>
            <w:shd w:val="clear" w:color="auto" w:fill="CFF0FC"/>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Variable rate </w:t>
            </w:r>
            <w:r>
              <w:rPr>
                <w:rFonts w:ascii="MS PGothic" w:cs="MS PGothic" w:eastAsia="MS PGothic" w:hAnsi="MS PGothic"/>
                <w:sz w:val="23"/>
                <w:szCs w:val="23"/>
                <w:color w:val="auto"/>
                <w:vertAlign w:val="superscript"/>
              </w:rPr>
              <w:t>⁽</w:t>
            </w:r>
            <w:r>
              <w:rPr>
                <w:rFonts w:ascii="Times New Roman" w:cs="Times New Roman" w:eastAsia="Times New Roman" w:hAnsi="Times New Roman"/>
                <w:sz w:val="23"/>
                <w:szCs w:val="23"/>
                <w:color w:val="auto"/>
                <w:vertAlign w:val="superscript"/>
              </w:rPr>
              <w:t>¹</w:t>
            </w:r>
            <w:r>
              <w:rPr>
                <w:rFonts w:ascii="MS PGothic" w:cs="MS PGothic" w:eastAsia="MS PGothic" w:hAnsi="MS PGothic"/>
                <w:sz w:val="23"/>
                <w:szCs w:val="23"/>
                <w:color w:val="auto"/>
                <w:vertAlign w:val="superscript"/>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7"/>
        </w:trPr>
        <w:tc>
          <w:tcPr>
            <w:tcW w:w="282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Average interest rate </w:t>
            </w:r>
            <w:r>
              <w:rPr>
                <w:rFonts w:ascii="MS PGothic" w:cs="MS PGothic" w:eastAsia="MS PGothic" w:hAnsi="MS PGothic"/>
                <w:sz w:val="23"/>
                <w:szCs w:val="23"/>
                <w:color w:val="auto"/>
                <w:vertAlign w:val="superscript"/>
              </w:rPr>
              <w:t>⁽</w:t>
            </w:r>
            <w:r>
              <w:rPr>
                <w:rFonts w:ascii="Times New Roman" w:cs="Times New Roman" w:eastAsia="Times New Roman" w:hAnsi="Times New Roman"/>
                <w:sz w:val="23"/>
                <w:szCs w:val="23"/>
                <w:color w:val="auto"/>
                <w:vertAlign w:val="superscript"/>
              </w:rPr>
              <w:t>²</w:t>
            </w:r>
            <w:r>
              <w:rPr>
                <w:rFonts w:ascii="MS PGothic" w:cs="MS PGothic" w:eastAsia="MS PGothic" w:hAnsi="MS PGothic"/>
                <w:sz w:val="23"/>
                <w:szCs w:val="23"/>
                <w:color w:val="auto"/>
                <w:vertAlign w:val="superscript"/>
              </w:rPr>
              <w:t>⁾</w:t>
            </w:r>
          </w:p>
        </w:tc>
        <w:tc>
          <w:tcPr>
            <w:tcW w:w="220" w:type="dxa"/>
            <w:vAlign w:val="bottom"/>
          </w:tcPr>
          <w:p>
            <w:pPr>
              <w:spacing w:after="0"/>
              <w:rPr>
                <w:sz w:val="20"/>
                <w:szCs w:val="20"/>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17" w:lineRule="exact"/>
        <w:rPr>
          <w:sz w:val="20"/>
          <w:szCs w:val="20"/>
          <w:color w:val="auto"/>
        </w:rPr>
      </w:pPr>
    </w:p>
    <w:p>
      <w:pPr>
        <w:ind w:left="660" w:right="460" w:hanging="652"/>
        <w:spacing w:after="0" w:line="259" w:lineRule="auto"/>
        <w:tabs>
          <w:tab w:leader="none" w:pos="65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are net of unamortized discounts, premiums and deferred financing costs; therefore, negative amounts prior to maturity represent the amortization of original issue discounts and deferred financing costs.</w:t>
      </w:r>
    </w:p>
    <w:p>
      <w:pPr>
        <w:ind w:left="640" w:hanging="632"/>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for our floating rate payments is based on the rate in effect as of December 31, 2025. No adjustments are made for forecast changes in the rate.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Sensitivity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currency exchange risk because of our hotel ownership in Brazil and Canada. We may utilize several strategies to mitigate the exposure of currency exchange risk for our portfolio, including (i) utilizing local currency denominated debt (including foreign currency draws on our credit facility),</w:t>
      </w:r>
    </w:p>
    <w:p>
      <w:pPr>
        <w:jc w:val="both"/>
        <w:ind w:right="340" w:firstLine="8"/>
        <w:spacing w:after="0" w:line="290" w:lineRule="auto"/>
        <w:tabs>
          <w:tab w:leader="none" w:pos="26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entering into forward or option foreign currency purchase contracts, or (iii) investing through partnership and joint venture structures. For 2025 and 2024, revenues from our consolidated foreign operations were $104 million and $101 million, respectively, or approximately 2%, of our total revenues.</w:t>
      </w:r>
    </w:p>
    <w:p>
      <w:pPr>
        <w:spacing w:after="0" w:line="15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the third quarter of 2025, two foreign currency forward purchase contracts matured, with a total notional amount of CAD 99 million ($73 million), and we received $1.1 million in the aggregate upon settlement of these contracts. In replacement of the maturing contracts, we entered into two new foreign currency forward purchase contracts with the same total notional amount of CAD 99 million ($73 million), which will mature in August 2026. The foreign currency exchange agreements into which we have entered strictly are to hedge foreign currency risk and are not for trading purposes. As of December 31, 2025, the fair value of these contracts was immaterial. These contracts are marked-to-market with changes in fair value recorded to other comprehensive income (loss) for contracts designated as a hedge of a net investment in a foreign operation, and through net income for contracts acting as a natural hedge of intercompany loans. The foreign currency forward sale contracts are valued based on the forward yield curve of the foreign currency to U.S. dollar forward exchange rate on the date of measurement. Pursuant to these contracts, we will sell the foreign currency amount, as applicable, and receive the U.S. dollar amount on the forward sale date. We also evaluate counterparty credit risk when we calculate the fair value of the derivatives.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financial information is included on the pages indicated: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Host Hotels &amp; Resorts, Inc. &amp; Host Hotels &amp; Resorts, L.P.</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98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Reports of Independent Registered Public Accounting Firm (Host Hotels &amp; Resorts, Inc.)</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237"/>
        </w:trPr>
        <w:tc>
          <w:tcPr>
            <w:tcW w:w="20" w:type="dxa"/>
            <w:vAlign w:val="bottom"/>
          </w:tcPr>
          <w:p>
            <w:pPr>
              <w:spacing w:after="0"/>
              <w:rPr>
                <w:sz w:val="20"/>
                <w:szCs w:val="20"/>
                <w:color w:val="auto"/>
              </w:rPr>
            </w:pPr>
          </w:p>
        </w:tc>
        <w:tc>
          <w:tcPr>
            <w:tcW w:w="64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(Host Hotels &amp; Resorts, L.P.)</w:t>
            </w:r>
          </w:p>
        </w:tc>
        <w:tc>
          <w:tcPr>
            <w:tcW w:w="3420" w:type="dxa"/>
            <w:vAlign w:val="bottom"/>
            <w:gridSpan w:val="7"/>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6"/>
        </w:trPr>
        <w:tc>
          <w:tcPr>
            <w:tcW w:w="20" w:type="dxa"/>
            <w:vAlign w:val="bottom"/>
          </w:tcPr>
          <w:p>
            <w:pPr>
              <w:spacing w:after="0"/>
              <w:rPr>
                <w:sz w:val="20"/>
                <w:szCs w:val="20"/>
                <w:color w:val="auto"/>
              </w:rPr>
            </w:pPr>
          </w:p>
        </w:tc>
        <w:tc>
          <w:tcPr>
            <w:tcW w:w="63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Financial Statements of Host Hotels &amp; Resorts, Inc.:</w:t>
            </w:r>
          </w:p>
        </w:tc>
        <w:tc>
          <w:tcPr>
            <w:tcW w:w="3480" w:type="dxa"/>
            <w:vAlign w:val="bottom"/>
            <w:gridSpan w:val="8"/>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4820" w:type="dxa"/>
            <w:vAlign w:val="bottom"/>
            <w:gridSpan w:val="9"/>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7"/>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2025, 2024 and 2023</w:t>
            </w:r>
          </w:p>
        </w:tc>
        <w:tc>
          <w:tcPr>
            <w:tcW w:w="2560" w:type="dxa"/>
            <w:vAlign w:val="bottom"/>
            <w:gridSpan w:val="4"/>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6"/>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Years Ended December 31, 2025, 2024 and 2023</w:t>
            </w:r>
          </w:p>
        </w:tc>
        <w:tc>
          <w:tcPr>
            <w:tcW w:w="16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7"/>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Equity for the Years Ended December 31, 2025, 2024 and 2023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31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322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Financial Statements of Host Hotels &amp; Resorts, L.P.:</w:t>
            </w:r>
          </w:p>
        </w:tc>
        <w:tc>
          <w:tcPr>
            <w:tcW w:w="6060" w:type="dxa"/>
            <w:vAlign w:val="bottom"/>
            <w:gridSpan w:val="10"/>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7"/>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4820" w:type="dxa"/>
            <w:vAlign w:val="bottom"/>
            <w:gridSpan w:val="9"/>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6"/>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2025, 2024 and 2023</w:t>
            </w:r>
          </w:p>
        </w:tc>
        <w:tc>
          <w:tcPr>
            <w:tcW w:w="2560" w:type="dxa"/>
            <w:vAlign w:val="bottom"/>
            <w:gridSpan w:val="4"/>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7"/>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Years Ended December 31, 2025, 2024 and 2023</w:t>
            </w:r>
          </w:p>
        </w:tc>
        <w:tc>
          <w:tcPr>
            <w:tcW w:w="16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7"/>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Capital for the Years Ended December 31, 2025, 2024 and 2023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20" w:type="dxa"/>
            <w:vAlign w:val="bottom"/>
            <w:gridSpan w:val="7"/>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40" w:type="dxa"/>
            <w:vAlign w:val="bottom"/>
            <w:gridSpan w:val="9"/>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 (Host Hotels &amp; Resorts, Inc. and Host Hotels &amp; Resorts, L.P.)</w:t>
            </w:r>
          </w:p>
        </w:tc>
        <w:tc>
          <w:tcPr>
            <w:tcW w:w="2200" w:type="dxa"/>
            <w:vAlign w:val="bottom"/>
            <w:gridSpan w:val="2"/>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938"/>
        </w:trPr>
        <w:tc>
          <w:tcPr>
            <w:tcW w:w="640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Host Hotels &amp; Resorts,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Host Hotels &amp; Resorts, Inc. and subsidiaries (the Company) as of December 31, 2025 and 2024, the related consolidated statements of operations, comprehensive income, equity, and cash flows for each of the years in the three-year period ended December 31, 2025, and the related notes and financial statement schedule III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25, 2026 expressed an unqualified opinion on the effectiveness of the Company’s internal control over financial reporting.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hotel properties for impairment</w:t>
      </w:r>
    </w:p>
    <w:p>
      <w:pPr>
        <w:spacing w:after="0" w:line="11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discussed in Notes 1 and 3 to the consolidated financial statements, property and equipment, less accumulated depreciation and amortization as of December 31, 2025, was $10,636 million. The Company assesses its property and equipment, primarily comprised of hotel properties, for impairment when events or changes in circumstances occur that indicate the carrying value may not be recoverable. If such events or changes in circumstances are identified, the Company performs a recoverability analysis to compare the carrying amount of the hotel property to its expected undiscounted future cash flows over its remaining useful life.</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identified the evaluation of hotel properties for impairment as a critical audit matter. Subjective auditor judgment was required to assess the events or changes in circumstances that the Company used to evaluate its expected hold period. In addition, subjective auditor judgment was required to evaluate the key assumptions used by the Company in the recoverability analysis for a certain hotel property. The key assumptions included the undiscounted future cash flows and the expected hold period of this hotel property. Additionally, the audit effort associated with the evaluation of the undiscounted future cash flows for this hotel property required specialized skills and knowledge.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impairment process. This included controls over the identification and assessment of expected hold periods for certain hotel properties and over the undiscounted future cash flows used by the Company in the recoverability analysis for a certain hotel property. We evaluated the expected hold periods, by:</w:t>
      </w:r>
    </w:p>
    <w:p>
      <w:pPr>
        <w:spacing w:after="0" w:line="72" w:lineRule="exact"/>
        <w:rPr>
          <w:sz w:val="20"/>
          <w:szCs w:val="20"/>
          <w:color w:val="auto"/>
        </w:rPr>
      </w:pPr>
    </w:p>
    <w:p>
      <w:pPr>
        <w:ind w:left="940" w:hanging="284"/>
        <w:spacing w:after="0"/>
        <w:tabs>
          <w:tab w:leader="none" w:pos="9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of management and obtaining written representations regarding potential property disposal plans, if any</w:t>
      </w:r>
    </w:p>
    <w:p>
      <w:pPr>
        <w:spacing w:after="0" w:line="117"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minutes of the meetings of the Company’s board of directors</w:t>
      </w:r>
    </w:p>
    <w:p>
      <w:pPr>
        <w:spacing w:after="0" w:line="117"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94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about the Company’s plans with those in the organization who are responsible for, and have authority over, potential disposition activities</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94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management’s assessment of properties with potential shortened expected hold periods to information obtained from those in the organization responsible for disposition activity, and</w:t>
      </w:r>
    </w:p>
    <w:p>
      <w:pPr>
        <w:spacing w:after="0" w:line="53"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inspecting listings from external sources of real estate properties for sale by the Company.</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 KPMG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Host Hotels &amp; Resorts,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Host Hotels &amp; Resorts, Inc. and subsidiaries'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equity, and cash flows for each of the years in the three-year period ended December 31, 2025, and the related notes and financial statement schedule III (collectively, the consolidated financial statements), and our report dated February 25, 2026 expressed an unqualified opinion on those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/s/ KPMG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3320" w:firstLine="3364"/>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Partners of Host Hotels &amp; Resorts, L.P. and Board of Directors of Host Hotels &amp; Resorts, Inc. </w:t>
      </w:r>
      <w:r>
        <w:rPr>
          <w:rFonts w:ascii="Times New Roman" w:cs="Times New Roman" w:eastAsia="Times New Roman" w:hAnsi="Times New Roman"/>
          <w:sz w:val="18"/>
          <w:szCs w:val="18"/>
          <w:i w:val="1"/>
          <w:iCs w:val="1"/>
          <w:color w:val="auto"/>
        </w:rPr>
        <w:t>Opinion on the Consolidated Financial Statements</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Host Hotels &amp; Resorts, L.P. and subsidiaries (the Partnership) as of December 31, 2025 and 2024, the related consolidated statements of operations, comprehensive income, capital, and cash flows for each of the years in the three-year period ended December 31, 2025, and the related notes and financial statement schedule III (collectively, the consolidated financial statements). In our opinion, the consolidated financial statements present fairly, in all material respects, the financial position of the Partnership as of December 31, 2025 and 2024, and the results of its operations and its cash flows for each of the years in the three-year period ended December 31, 2025, in conformity with U.S. generally accepted accounting principles.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Partnership’s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Partnership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Partnership’s internal control over financial reporting. Accordingly, we express no such opinion.</w:t>
      </w:r>
    </w:p>
    <w:p>
      <w:pPr>
        <w:spacing w:after="0" w:line="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hotel properties for impairment</w:t>
      </w:r>
    </w:p>
    <w:p>
      <w:pPr>
        <w:spacing w:after="0" w:line="11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As discussed in Notes 1 and 3 to the consolidated financial statements, property and equipment, less accumulated depreciation and amortization as of December 31, 2025, was $10,636 million. The Partnership assesses its property and equipment, primarily comprised of hotel properties, for impairment when events or changes in circumstances occur that indicate the carrying value may not be recoverable. If such events or changes in circumstances are identified, the Partnership performs a recoverability analysis to compare the carrying amount of the hotel property to its expected undiscounted future cash flows over its remaining useful life.</w:t>
      </w:r>
    </w:p>
    <w:p>
      <w:pPr>
        <w:spacing w:after="0" w:line="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identified the evaluation of hotel properties for impairment as a critical audit matter. Subjective auditor judgment was required to assess the events or changes in circumstances that the Partnership used to evaluate its expected hold period. In addition, subjective auditor judgment was required to evaluate the key assumptions used by the Partnership in the recoverability analysis for a certain hotel property. The key assumptions included the undiscounted future cash flows and the expected hold period of this hotel property. Additionally, the audit effort associated with the evaluation of the undiscounted future cash flows for this hotel property required specialized skills and knowledge.</w:t>
      </w:r>
    </w:p>
    <w:p>
      <w:pPr>
        <w:spacing w:after="0" w:line="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impairment process. This included controls over the identification and assessment of expected hold periods for certain hotel properties and over the undiscounted future cash</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flows used by the Partnership in the recoverability analysis for a certain hotel property. We evaluated the expected hold periods, by:</w:t>
      </w:r>
    </w:p>
    <w:p>
      <w:pPr>
        <w:spacing w:after="0" w:line="117" w:lineRule="exact"/>
        <w:rPr>
          <w:sz w:val="20"/>
          <w:szCs w:val="20"/>
          <w:color w:val="auto"/>
        </w:rPr>
      </w:pPr>
    </w:p>
    <w:p>
      <w:pPr>
        <w:ind w:left="940" w:hanging="284"/>
        <w:spacing w:after="0"/>
        <w:tabs>
          <w:tab w:leader="none" w:pos="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of management and obtaining written representations regarding potential property disposal plans, if any</w:t>
      </w:r>
    </w:p>
    <w:p>
      <w:pPr>
        <w:spacing w:after="0" w:line="117"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minutes of the meetings of Host Hotels &amp; Resorts, Inc.’s board of directors</w:t>
      </w:r>
    </w:p>
    <w:p>
      <w:pPr>
        <w:spacing w:after="0" w:line="117"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94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about the Partnership’s plans with those in the organization who are responsible for, and have authority over, potential disposition activities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94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management’s assessment of properties with potential shortened expected hold periods to information obtained from those in the organization responsible for disposition activity, and</w:t>
      </w:r>
    </w:p>
    <w:p>
      <w:pPr>
        <w:spacing w:after="0" w:line="53"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inspecting listings from external sources of real estate properties for sale by the Partnership.</w:t>
      </w:r>
    </w:p>
    <w:p>
      <w:pPr>
        <w:spacing w:after="0" w:line="18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 KPMG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Partnership’s auditor since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200" w:lineRule="exact"/>
        <w:rPr>
          <w:sz w:val="20"/>
          <w:szCs w:val="20"/>
          <w:color w:val="auto"/>
        </w:rPr>
      </w:pPr>
    </w:p>
    <w:p>
      <w:pPr>
        <w:spacing w:after="0" w:line="3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84"/>
        </w:trPr>
        <w:tc>
          <w:tcPr>
            <w:tcW w:w="8180" w:type="dxa"/>
            <w:vAlign w:val="bottom"/>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10,906</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3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managers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Advances to and investments in affiliates</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 replacement fund</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23"/>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13,048</w:t>
            </w:r>
          </w:p>
        </w:tc>
      </w:tr>
      <w:tr>
        <w:trPr>
          <w:trHeight w:val="20"/>
        </w:trPr>
        <w:tc>
          <w:tcPr>
            <w:tcW w:w="81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29"/>
        </w:trPr>
        <w:tc>
          <w:tcPr>
            <w:tcW w:w="8340" w:type="dxa"/>
            <w:vAlign w:val="bottom"/>
            <w:gridSpan w:val="2"/>
          </w:tcPr>
          <w:p>
            <w:pPr>
              <w:ind w:left="2980"/>
              <w:spacing w:after="0"/>
              <w:rPr>
                <w:sz w:val="20"/>
                <w:szCs w:val="20"/>
                <w:color w:val="auto"/>
              </w:rPr>
            </w:pPr>
            <w:r>
              <w:rPr>
                <w:rFonts w:ascii="Times New Roman" w:cs="Times New Roman" w:eastAsia="Times New Roman" w:hAnsi="Times New Roman"/>
                <w:sz w:val="18"/>
                <w:szCs w:val="18"/>
                <w:b w:val="1"/>
                <w:bCs w:val="1"/>
                <w:color w:val="auto"/>
              </w:rPr>
              <w:t>LIABILITIES, NON-CONTROLLING INTERESTS AND EQUITY</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5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notes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r>
      <w:tr>
        <w:trPr>
          <w:trHeight w:val="230"/>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Credit facility, including the term loans of $999 and $998, respectively</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56"/>
        </w:trPr>
        <w:tc>
          <w:tcPr>
            <w:tcW w:w="818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Mortgage and other debt</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7"/>
        </w:trPr>
        <w:tc>
          <w:tcPr>
            <w:tcW w:w="81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5,083</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managers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37"/>
        </w:trPr>
        <w:tc>
          <w:tcPr>
            <w:tcW w:w="818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6,271</w:t>
            </w:r>
          </w:p>
        </w:tc>
      </w:tr>
      <w:tr>
        <w:trPr>
          <w:trHeight w:val="250"/>
        </w:trPr>
        <w:tc>
          <w:tcPr>
            <w:tcW w:w="8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 - Host Hotels &amp; Resorts, L.P.</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0"/>
        </w:trPr>
        <w:tc>
          <w:tcPr>
            <w:tcW w:w="81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3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320" w:type="dxa"/>
            <w:vAlign w:val="bottom"/>
            <w:shd w:val="clear" w:color="auto" w:fill="CFF0FC"/>
          </w:tcPr>
          <w:p>
            <w:pPr>
              <w:spacing w:after="0"/>
              <w:rPr>
                <w:sz w:val="23"/>
                <w:szCs w:val="23"/>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Host Hotels &amp; Resorts, Inc. stockholders’ equity:</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75"/>
        </w:trPr>
        <w:tc>
          <w:tcPr>
            <w:tcW w:w="818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par value $0.01, 1,050 million shares authorized, 687.8 million shares and 699.1 million</w:t>
            </w:r>
          </w:p>
        </w:tc>
        <w:tc>
          <w:tcPr>
            <w:tcW w:w="1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243"/>
        </w:trPr>
        <w:tc>
          <w:tcPr>
            <w:tcW w:w="81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w:t>
            </w:r>
          </w:p>
        </w:tc>
      </w:tr>
      <w:tr>
        <w:trPr>
          <w:trHeight w:val="230"/>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818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Deficit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37"/>
        </w:trPr>
        <w:tc>
          <w:tcPr>
            <w:tcW w:w="81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Total equity of Host Hotels &amp; Resorts, Inc. stockholders</w:t>
            </w:r>
          </w:p>
        </w:tc>
        <w:tc>
          <w:tcPr>
            <w:tcW w:w="1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1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6,609</w:t>
            </w:r>
          </w:p>
        </w:tc>
      </w:tr>
      <w:tr>
        <w:trPr>
          <w:trHeight w:val="223"/>
        </w:trPr>
        <w:tc>
          <w:tcPr>
            <w:tcW w:w="8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Non-redeemable non-controlling interests—other consolidated partnerships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81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1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6,612</w:t>
            </w:r>
          </w:p>
        </w:tc>
      </w:tr>
      <w:tr>
        <w:trPr>
          <w:trHeight w:val="223"/>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 non-controlling interests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13,048</w:t>
            </w:r>
          </w:p>
        </w:tc>
      </w:tr>
      <w:tr>
        <w:trPr>
          <w:trHeight w:val="20"/>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common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6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63"/>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Rooms</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3,608</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w:t>
            </w:r>
          </w:p>
        </w:tc>
      </w:tr>
      <w:tr>
        <w:trPr>
          <w:trHeight w:val="25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Food and beverage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63"/>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5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Condominium sales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60" w:type="dxa"/>
            <w:vAlign w:val="bottom"/>
            <w:tcBorders>
              <w:top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880" w:type="dxa"/>
            <w:vAlign w:val="bottom"/>
            <w:tcBorders>
              <w:top w:val="single" w:sz="8" w:color="auto"/>
              <w:bottom w:val="single" w:sz="8" w:color="auto"/>
            </w:tcBorders>
            <w:shd w:val="clear" w:color="auto" w:fill="CFF0FC"/>
          </w:tcPr>
          <w:p>
            <w:pPr>
              <w:spacing w:after="0"/>
              <w:rPr>
                <w:sz w:val="22"/>
                <w:szCs w:val="22"/>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6,114</w:t>
            </w:r>
          </w:p>
        </w:tc>
        <w:tc>
          <w:tcPr>
            <w:tcW w:w="100" w:type="dxa"/>
            <w:vAlign w:val="bottom"/>
            <w:tcBorders>
              <w:top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spacing w:after="0"/>
              <w:rPr>
                <w:sz w:val="22"/>
                <w:szCs w:val="22"/>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100" w:type="dxa"/>
            <w:vAlign w:val="bottom"/>
            <w:tcBorders>
              <w:top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spacing w:after="0"/>
              <w:rPr>
                <w:sz w:val="22"/>
                <w:szCs w:val="22"/>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5,311</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3"/>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Rooms</w:t>
            </w:r>
          </w:p>
        </w:tc>
        <w:tc>
          <w:tcPr>
            <w:tcW w:w="88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5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Food and beverage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63"/>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departmental and support expenses</w:t>
            </w:r>
          </w:p>
        </w:tc>
        <w:tc>
          <w:tcPr>
            <w:tcW w:w="88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1,466</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5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 fees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63"/>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property-level expenses</w:t>
            </w:r>
          </w:p>
        </w:tc>
        <w:tc>
          <w:tcPr>
            <w:tcW w:w="88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5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63"/>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goods sold</w:t>
            </w:r>
          </w:p>
        </w:tc>
        <w:tc>
          <w:tcPr>
            <w:tcW w:w="88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57"/>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gain on insurance settlements</w:t>
            </w:r>
          </w:p>
        </w:tc>
        <w:tc>
          <w:tcPr>
            <w:tcW w:w="88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50"/>
        </w:trPr>
        <w:tc>
          <w:tcPr>
            <w:tcW w:w="696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5,259</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4,484</w:t>
            </w:r>
          </w:p>
        </w:tc>
      </w:tr>
      <w:tr>
        <w:trPr>
          <w:trHeight w:val="25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88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5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63"/>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5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gains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63"/>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Equity in earnings of affiliates</w:t>
            </w:r>
          </w:p>
        </w:tc>
        <w:tc>
          <w:tcPr>
            <w:tcW w:w="88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63"/>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8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5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88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HOST HOTELS &amp; RESORTS, INC.</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0"/>
        </w:trPr>
        <w:tc>
          <w:tcPr>
            <w:tcW w:w="696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5"/>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69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6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6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5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 comprehensive income (loss) of unconsolidated affiliates</w:t>
            </w:r>
          </w:p>
        </w:tc>
        <w:tc>
          <w:tcPr>
            <w:tcW w:w="94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94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Amounts reclassified from other comprehensive income</w:t>
            </w:r>
          </w:p>
        </w:tc>
        <w:tc>
          <w:tcPr>
            <w:tcW w:w="94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9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4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50"/>
        </w:trPr>
        <w:tc>
          <w:tcPr>
            <w:tcW w:w="69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9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82"/>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HOST HOTELS &amp; RESORTS, INC.</w:t>
            </w: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0"/>
        </w:trPr>
        <w:tc>
          <w:tcPr>
            <w:tcW w:w="69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Non-redeemable non-</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Redeemable non-</w:t>
            </w:r>
          </w:p>
        </w:tc>
      </w:tr>
      <w:tr>
        <w:trPr>
          <w:trHeight w:val="148"/>
        </w:trPr>
        <w:tc>
          <w:tcPr>
            <w:tcW w:w="9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controlling Interests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controlling</w:t>
            </w:r>
          </w:p>
        </w:tc>
      </w:tr>
      <w:tr>
        <w:trPr>
          <w:trHeight w:val="149"/>
        </w:trPr>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of Other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Interests of Host</w:t>
            </w:r>
          </w:p>
        </w:tc>
      </w:tr>
      <w:tr>
        <w:trPr>
          <w:trHeight w:val="148"/>
        </w:trPr>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w:t>
            </w:r>
          </w:p>
        </w:tc>
        <w:tc>
          <w:tcPr>
            <w:tcW w:w="80" w:type="dxa"/>
            <w:vAlign w:val="bottom"/>
          </w:tcPr>
          <w:p>
            <w:pPr>
              <w:spacing w:after="0"/>
              <w:rPr>
                <w:sz w:val="12"/>
                <w:szCs w:val="12"/>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Consolidated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Hotels &amp; Resorts,</w:t>
            </w:r>
          </w:p>
        </w:tc>
      </w:tr>
      <w:tr>
        <w:trPr>
          <w:trHeight w:val="189"/>
        </w:trPr>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Outstanding</w:t>
            </w:r>
          </w:p>
        </w:tc>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4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8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Retained Deficit</w:t>
            </w:r>
          </w:p>
        </w:tc>
        <w:tc>
          <w:tcPr>
            <w:tcW w:w="1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Partnerships</w:t>
            </w:r>
          </w:p>
        </w:tc>
        <w:tc>
          <w:tcPr>
            <w:tcW w:w="10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80" w:type="dxa"/>
            <w:vAlign w:val="bottom"/>
          </w:tcPr>
          <w:p>
            <w:pPr>
              <w:spacing w:after="0"/>
              <w:rPr>
                <w:sz w:val="16"/>
                <w:szCs w:val="16"/>
                <w:color w:val="auto"/>
              </w:rPr>
            </w:pPr>
          </w:p>
        </w:tc>
        <w:tc>
          <w:tcPr>
            <w:tcW w:w="9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L.P.</w:t>
            </w:r>
          </w:p>
        </w:tc>
      </w:tr>
      <w:tr>
        <w:trPr>
          <w:trHeight w:val="183"/>
        </w:trPr>
        <w:tc>
          <w:tcPr>
            <w:tcW w:w="9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713.4</w:t>
            </w:r>
          </w:p>
        </w:tc>
        <w:tc>
          <w:tcPr>
            <w:tcW w:w="254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7,717</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(939)</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6,715</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w:t>
            </w:r>
          </w:p>
        </w:tc>
      </w:tr>
      <w:tr>
        <w:trPr>
          <w:trHeight w:val="173"/>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29"/>
        </w:trPr>
        <w:tc>
          <w:tcPr>
            <w:tcW w:w="9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73"/>
        </w:trPr>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Other changes in ownership</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29"/>
        </w:trPr>
        <w:tc>
          <w:tcPr>
            <w:tcW w:w="920" w:type="dxa"/>
            <w:vAlign w:val="bottom"/>
            <w:shd w:val="clear" w:color="auto" w:fill="CFF0FC"/>
          </w:tcPr>
          <w:p>
            <w:pPr>
              <w:spacing w:after="0"/>
              <w:rPr>
                <w:sz w:val="2"/>
                <w:szCs w:val="2"/>
                <w:color w:val="auto"/>
              </w:rPr>
            </w:pPr>
          </w:p>
        </w:tc>
        <w:tc>
          <w:tcPr>
            <w:tcW w:w="25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7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r>
    </w:tbl>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  Foreign currency translation and other</w:t>
      </w:r>
    </w:p>
    <w:tbl>
      <w:tblPr>
        <w:tblLayout w:type="fixed"/>
        <w:tblInd w:w="0" w:type="dxa"/>
        <w:tblCellMar>
          <w:top w:w="0" w:type="dxa"/>
          <w:left w:w="0" w:type="dxa"/>
          <w:bottom w:w="0" w:type="dxa"/>
          <w:right w:w="0" w:type="dxa"/>
        </w:tblCellMar>
      </w:tblPr>
      <w:tr>
        <w:trPr>
          <w:trHeight w:val="148"/>
        </w:trPr>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2"/>
          </w:tcPr>
          <w:p>
            <w:pPr>
              <w:ind w:left="180"/>
              <w:spacing w:after="0" w:line="147" w:lineRule="exact"/>
              <w:rPr>
                <w:sz w:val="20"/>
                <w:szCs w:val="20"/>
                <w:color w:val="auto"/>
              </w:rPr>
            </w:pPr>
            <w:r>
              <w:rPr>
                <w:rFonts w:ascii="Times New Roman" w:cs="Times New Roman" w:eastAsia="Times New Roman" w:hAnsi="Times New Roman"/>
                <w:sz w:val="13"/>
                <w:szCs w:val="13"/>
                <w:color w:val="auto"/>
              </w:rPr>
              <w:t>comprehensive income (loss) of</w:t>
            </w:r>
          </w:p>
        </w:tc>
        <w:tc>
          <w:tcPr>
            <w:tcW w:w="380" w:type="dxa"/>
            <w:vAlign w:val="bottom"/>
          </w:tcPr>
          <w:p>
            <w:pPr>
              <w:spacing w:after="0"/>
              <w:rPr>
                <w:sz w:val="12"/>
                <w:szCs w:val="12"/>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unconsolidated affiliates</w:t>
            </w:r>
          </w:p>
        </w:tc>
        <w:tc>
          <w:tcPr>
            <w:tcW w:w="3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0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Change in fair value of derivative</w:t>
            </w:r>
          </w:p>
        </w:tc>
        <w:tc>
          <w:tcPr>
            <w:tcW w:w="380" w:type="dxa"/>
            <w:vAlign w:val="bottom"/>
            <w:shd w:val="clear" w:color="auto" w:fill="CFF0FC"/>
          </w:tcPr>
          <w:p>
            <w:pPr>
              <w:spacing w:after="0"/>
              <w:rPr>
                <w:sz w:val="14"/>
                <w:szCs w:val="14"/>
                <w:color w:val="auto"/>
              </w:rPr>
            </w:pPr>
          </w:p>
        </w:tc>
        <w:tc>
          <w:tcPr>
            <w:tcW w:w="5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4"/>
                <w:szCs w:val="14"/>
                <w:color w:val="auto"/>
              </w:rPr>
            </w:pPr>
          </w:p>
        </w:tc>
        <w:tc>
          <w:tcPr>
            <w:tcW w:w="7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spacing w:after="0"/>
              <w:rPr>
                <w:sz w:val="14"/>
                <w:szCs w:val="14"/>
                <w:color w:val="auto"/>
              </w:rPr>
            </w:pPr>
          </w:p>
        </w:tc>
        <w:tc>
          <w:tcPr>
            <w:tcW w:w="7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1020" w:type="dxa"/>
            <w:vAlign w:val="bottom"/>
            <w:gridSpan w:val="2"/>
            <w:vMerge w:val="continue"/>
            <w:shd w:val="clear" w:color="auto" w:fill="CFF0FC"/>
          </w:tcPr>
          <w:p>
            <w:pPr>
              <w:spacing w:after="0"/>
              <w:rPr>
                <w:sz w:val="15"/>
                <w:szCs w:val="15"/>
                <w:color w:val="auto"/>
              </w:rPr>
            </w:pPr>
          </w:p>
        </w:tc>
        <w:tc>
          <w:tcPr>
            <w:tcW w:w="24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instruments</w:t>
            </w:r>
          </w:p>
        </w:tc>
        <w:tc>
          <w:tcPr>
            <w:tcW w:w="380" w:type="dxa"/>
            <w:vAlign w:val="bottom"/>
            <w:shd w:val="clear" w:color="auto" w:fill="CFF0FC"/>
          </w:tcPr>
          <w:p>
            <w:pPr>
              <w:spacing w:after="0"/>
              <w:rPr>
                <w:sz w:val="15"/>
                <w:szCs w:val="15"/>
                <w:color w:val="auto"/>
              </w:rPr>
            </w:pPr>
          </w:p>
        </w:tc>
        <w:tc>
          <w:tcPr>
            <w:tcW w:w="560" w:type="dxa"/>
            <w:vAlign w:val="bottom"/>
            <w:gridSpan w:val="2"/>
            <w:vMerge w:val="continue"/>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00" w:type="dxa"/>
            <w:vAlign w:val="bottom"/>
            <w:gridSpan w:val="2"/>
            <w:vMerge w:val="continue"/>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20" w:type="dxa"/>
            <w:vAlign w:val="bottom"/>
            <w:gridSpan w:val="2"/>
            <w:vMerge w:val="continue"/>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760" w:type="dxa"/>
            <w:vAlign w:val="bottom"/>
            <w:gridSpan w:val="2"/>
            <w:vMerge w:val="continue"/>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6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3"/>
                <w:szCs w:val="13"/>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Comprehensive stock and employee stock</w:t>
            </w:r>
          </w:p>
        </w:tc>
        <w:tc>
          <w:tcPr>
            <w:tcW w:w="380" w:type="dxa"/>
            <w:vAlign w:val="bottom"/>
          </w:tcPr>
          <w:p>
            <w:pPr>
              <w:spacing w:after="0"/>
              <w:rPr>
                <w:sz w:val="13"/>
                <w:szCs w:val="13"/>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purchase plans</w:t>
            </w:r>
          </w:p>
        </w:tc>
        <w:tc>
          <w:tcPr>
            <w:tcW w:w="3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 dividends</w:t>
            </w:r>
          </w:p>
        </w:tc>
        <w:tc>
          <w:tcPr>
            <w:tcW w:w="38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8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8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13"/>
                <w:szCs w:val="13"/>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Redemptions of limited partner interests for</w:t>
            </w:r>
          </w:p>
        </w:tc>
        <w:tc>
          <w:tcPr>
            <w:tcW w:w="380" w:type="dxa"/>
            <w:vAlign w:val="bottom"/>
          </w:tcPr>
          <w:p>
            <w:pPr>
              <w:spacing w:after="0"/>
              <w:rPr>
                <w:sz w:val="13"/>
                <w:szCs w:val="13"/>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72"/>
        </w:trPr>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common stock</w:t>
            </w:r>
          </w:p>
        </w:tc>
        <w:tc>
          <w:tcPr>
            <w:tcW w:w="3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38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73"/>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tcPr>
          <w:p>
            <w:pPr>
              <w:spacing w:after="0"/>
              <w:rPr>
                <w:sz w:val="15"/>
                <w:szCs w:val="15"/>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3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703.6</w:t>
            </w:r>
          </w:p>
        </w:tc>
        <w:tc>
          <w:tcPr>
            <w:tcW w:w="100" w:type="dxa"/>
            <w:vAlign w:val="bottom"/>
            <w:tcBorders>
              <w:bottom w:val="single" w:sz="8" w:color="CFF0FC"/>
            </w:tcBorders>
            <w:shd w:val="clear" w:color="auto" w:fill="CFF0FC"/>
          </w:tcPr>
          <w:p>
            <w:pPr>
              <w:spacing w:after="0"/>
              <w:rPr>
                <w:sz w:val="17"/>
                <w:szCs w:val="17"/>
                <w:color w:val="auto"/>
              </w:rPr>
            </w:pPr>
          </w:p>
        </w:tc>
        <w:tc>
          <w:tcPr>
            <w:tcW w:w="2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380" w:type="dxa"/>
            <w:vAlign w:val="bottom"/>
            <w:tcBorders>
              <w:bottom w:val="single" w:sz="8" w:color="CFF0FC"/>
            </w:tcBorders>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7,535</w:t>
            </w:r>
          </w:p>
        </w:tc>
        <w:tc>
          <w:tcPr>
            <w:tcW w:w="10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(839)</w:t>
            </w:r>
          </w:p>
        </w:tc>
        <w:tc>
          <w:tcPr>
            <w:tcW w:w="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ind w:right="4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6,637</w:t>
            </w:r>
          </w:p>
        </w:tc>
        <w:tc>
          <w:tcPr>
            <w:tcW w:w="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0" w:type="dxa"/>
            <w:vAlign w:val="bottom"/>
          </w:tcPr>
          <w:p>
            <w:pPr>
              <w:spacing w:after="0"/>
              <w:rPr>
                <w:sz w:val="1"/>
                <w:szCs w:val="1"/>
                <w:color w:val="auto"/>
              </w:rPr>
            </w:pPr>
          </w:p>
        </w:tc>
      </w:tr>
      <w:tr>
        <w:trPr>
          <w:trHeight w:val="167"/>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8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9"/>
        </w:trPr>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changes in ownership</w:t>
            </w:r>
          </w:p>
        </w:tc>
        <w:tc>
          <w:tcPr>
            <w:tcW w:w="3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29"/>
        </w:trPr>
        <w:tc>
          <w:tcPr>
            <w:tcW w:w="9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3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1200" w:right="8280" w:hanging="418"/>
        <w:spacing w:after="0" w:line="238" w:lineRule="auto"/>
        <w:rPr>
          <w:sz w:val="20"/>
          <w:szCs w:val="20"/>
          <w:color w:val="auto"/>
        </w:rPr>
      </w:pPr>
      <w:r>
        <w:rPr>
          <w:rFonts w:ascii="Times New Roman" w:cs="Times New Roman" w:eastAsia="Times New Roman" w:hAnsi="Times New Roman"/>
          <w:sz w:val="13"/>
          <w:szCs w:val="13"/>
          <w:color w:val="auto"/>
        </w:rPr>
        <w:t>— Foreign currency translation and other comprehensive income (loss)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unconsolidated affiliates</w:t>
            </w:r>
          </w:p>
        </w:tc>
        <w:tc>
          <w:tcPr>
            <w:tcW w:w="3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0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Change in fair value of derivative</w:t>
            </w:r>
          </w:p>
        </w:tc>
        <w:tc>
          <w:tcPr>
            <w:tcW w:w="380" w:type="dxa"/>
            <w:vAlign w:val="bottom"/>
            <w:shd w:val="clear" w:color="auto" w:fill="CFF0FC"/>
          </w:tcPr>
          <w:p>
            <w:pPr>
              <w:spacing w:after="0"/>
              <w:rPr>
                <w:sz w:val="14"/>
                <w:szCs w:val="14"/>
                <w:color w:val="auto"/>
              </w:rPr>
            </w:pPr>
          </w:p>
        </w:tc>
        <w:tc>
          <w:tcPr>
            <w:tcW w:w="5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4"/>
                <w:szCs w:val="14"/>
                <w:color w:val="auto"/>
              </w:rPr>
            </w:pPr>
          </w:p>
        </w:tc>
        <w:tc>
          <w:tcPr>
            <w:tcW w:w="7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spacing w:after="0"/>
              <w:rPr>
                <w:sz w:val="14"/>
                <w:szCs w:val="14"/>
                <w:color w:val="auto"/>
              </w:rPr>
            </w:pPr>
          </w:p>
        </w:tc>
        <w:tc>
          <w:tcPr>
            <w:tcW w:w="7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1020" w:type="dxa"/>
            <w:vAlign w:val="bottom"/>
            <w:gridSpan w:val="2"/>
            <w:vMerge w:val="continue"/>
            <w:shd w:val="clear" w:color="auto" w:fill="CFF0FC"/>
          </w:tcPr>
          <w:p>
            <w:pPr>
              <w:spacing w:after="0"/>
              <w:rPr>
                <w:sz w:val="15"/>
                <w:szCs w:val="15"/>
                <w:color w:val="auto"/>
              </w:rPr>
            </w:pPr>
          </w:p>
        </w:tc>
        <w:tc>
          <w:tcPr>
            <w:tcW w:w="24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instruments</w:t>
            </w:r>
          </w:p>
        </w:tc>
        <w:tc>
          <w:tcPr>
            <w:tcW w:w="380" w:type="dxa"/>
            <w:vAlign w:val="bottom"/>
            <w:shd w:val="clear" w:color="auto" w:fill="CFF0FC"/>
          </w:tcPr>
          <w:p>
            <w:pPr>
              <w:spacing w:after="0"/>
              <w:rPr>
                <w:sz w:val="15"/>
                <w:szCs w:val="15"/>
                <w:color w:val="auto"/>
              </w:rPr>
            </w:pPr>
          </w:p>
        </w:tc>
        <w:tc>
          <w:tcPr>
            <w:tcW w:w="560" w:type="dxa"/>
            <w:vAlign w:val="bottom"/>
            <w:gridSpan w:val="2"/>
            <w:vMerge w:val="continue"/>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00" w:type="dxa"/>
            <w:vAlign w:val="bottom"/>
            <w:gridSpan w:val="2"/>
            <w:vMerge w:val="continue"/>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20" w:type="dxa"/>
            <w:vAlign w:val="bottom"/>
            <w:gridSpan w:val="2"/>
            <w:vMerge w:val="continue"/>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760" w:type="dxa"/>
            <w:vAlign w:val="bottom"/>
            <w:gridSpan w:val="2"/>
            <w:vMerge w:val="continue"/>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6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Amounts reclassified from Other</w:t>
            </w:r>
          </w:p>
        </w:tc>
        <w:tc>
          <w:tcPr>
            <w:tcW w:w="380" w:type="dxa"/>
            <w:vAlign w:val="bottom"/>
          </w:tcPr>
          <w:p>
            <w:pPr>
              <w:spacing w:after="0"/>
              <w:rPr>
                <w:sz w:val="13"/>
                <w:szCs w:val="13"/>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1020" w:type="dxa"/>
            <w:vAlign w:val="bottom"/>
            <w:gridSpan w:val="2"/>
            <w:vMerge w:val="continue"/>
          </w:tcPr>
          <w:p>
            <w:pPr>
              <w:spacing w:after="0"/>
              <w:rPr>
                <w:sz w:val="14"/>
                <w:szCs w:val="14"/>
                <w:color w:val="auto"/>
              </w:rPr>
            </w:pPr>
          </w:p>
        </w:tc>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Comprehensive Income</w:t>
            </w:r>
          </w:p>
        </w:tc>
        <w:tc>
          <w:tcPr>
            <w:tcW w:w="3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FF0FC"/>
          </w:tcPr>
          <w:p>
            <w:pPr>
              <w:spacing w:after="0"/>
              <w:rPr>
                <w:sz w:val="14"/>
                <w:szCs w:val="14"/>
                <w:color w:val="auto"/>
              </w:rPr>
            </w:pPr>
          </w:p>
        </w:tc>
        <w:tc>
          <w:tcPr>
            <w:tcW w:w="2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Comprehensive stock and employee stock</w:t>
            </w:r>
          </w:p>
        </w:tc>
        <w:tc>
          <w:tcPr>
            <w:tcW w:w="380" w:type="dxa"/>
            <w:vAlign w:val="bottom"/>
            <w:shd w:val="clear" w:color="auto" w:fill="CFF0FC"/>
          </w:tcPr>
          <w:p>
            <w:pPr>
              <w:spacing w:after="0"/>
              <w:rPr>
                <w:sz w:val="14"/>
                <w:szCs w:val="14"/>
                <w:color w:val="auto"/>
              </w:rPr>
            </w:pPr>
          </w:p>
        </w:tc>
        <w:tc>
          <w:tcPr>
            <w:tcW w:w="5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4"/>
                <w:szCs w:val="14"/>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spacing w:after="0"/>
              <w:rPr>
                <w:sz w:val="14"/>
                <w:szCs w:val="14"/>
                <w:color w:val="auto"/>
              </w:rPr>
            </w:pPr>
          </w:p>
        </w:tc>
        <w:tc>
          <w:tcPr>
            <w:tcW w:w="7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purchase plans</w:t>
            </w:r>
          </w:p>
        </w:tc>
        <w:tc>
          <w:tcPr>
            <w:tcW w:w="380" w:type="dxa"/>
            <w:vAlign w:val="bottom"/>
            <w:shd w:val="clear" w:color="auto" w:fill="CFF0FC"/>
          </w:tcPr>
          <w:p>
            <w:pPr>
              <w:spacing w:after="0"/>
              <w:rPr>
                <w:sz w:val="15"/>
                <w:szCs w:val="15"/>
                <w:color w:val="auto"/>
              </w:rPr>
            </w:pPr>
          </w:p>
        </w:tc>
        <w:tc>
          <w:tcPr>
            <w:tcW w:w="560" w:type="dxa"/>
            <w:vAlign w:val="bottom"/>
            <w:gridSpan w:val="2"/>
            <w:vMerge w:val="continue"/>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0" w:type="dxa"/>
            <w:vAlign w:val="bottom"/>
            <w:gridSpan w:val="2"/>
            <w:vMerge w:val="continue"/>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20" w:type="dxa"/>
            <w:vAlign w:val="bottom"/>
            <w:gridSpan w:val="2"/>
            <w:vMerge w:val="continue"/>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760" w:type="dxa"/>
            <w:vAlign w:val="bottom"/>
            <w:gridSpan w:val="2"/>
            <w:vMerge w:val="continue"/>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6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Common stock dividends</w:t>
            </w:r>
          </w:p>
        </w:tc>
        <w:tc>
          <w:tcPr>
            <w:tcW w:w="3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shd w:val="clear" w:color="auto" w:fill="CFF0FC"/>
          </w:tcPr>
          <w:p>
            <w:pPr>
              <w:spacing w:after="0"/>
              <w:rPr>
                <w:sz w:val="13"/>
                <w:szCs w:val="13"/>
                <w:color w:val="auto"/>
              </w:rPr>
            </w:pPr>
          </w:p>
        </w:tc>
        <w:tc>
          <w:tcPr>
            <w:tcW w:w="2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Redemptions of limited partner interests for</w:t>
            </w:r>
          </w:p>
        </w:tc>
        <w:tc>
          <w:tcPr>
            <w:tcW w:w="380" w:type="dxa"/>
            <w:vAlign w:val="bottom"/>
            <w:shd w:val="clear" w:color="auto" w:fill="CFF0FC"/>
          </w:tcPr>
          <w:p>
            <w:pPr>
              <w:spacing w:after="0"/>
              <w:rPr>
                <w:sz w:val="13"/>
                <w:szCs w:val="13"/>
                <w:color w:val="auto"/>
              </w:rPr>
            </w:pPr>
          </w:p>
        </w:tc>
        <w:tc>
          <w:tcPr>
            <w:tcW w:w="5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3"/>
                <w:szCs w:val="13"/>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spacing w:after="0"/>
              <w:rPr>
                <w:sz w:val="13"/>
                <w:szCs w:val="13"/>
                <w:color w:val="auto"/>
              </w:rPr>
            </w:pPr>
          </w:p>
        </w:tc>
        <w:tc>
          <w:tcPr>
            <w:tcW w:w="7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80"/>
        </w:trPr>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common stock</w:t>
            </w:r>
          </w:p>
        </w:tc>
        <w:tc>
          <w:tcPr>
            <w:tcW w:w="380" w:type="dxa"/>
            <w:vAlign w:val="bottom"/>
            <w:shd w:val="clear" w:color="auto" w:fill="CFF0FC"/>
          </w:tcPr>
          <w:p>
            <w:pPr>
              <w:spacing w:after="0"/>
              <w:rPr>
                <w:sz w:val="15"/>
                <w:szCs w:val="15"/>
                <w:color w:val="auto"/>
              </w:rPr>
            </w:pPr>
          </w:p>
        </w:tc>
        <w:tc>
          <w:tcPr>
            <w:tcW w:w="560" w:type="dxa"/>
            <w:vAlign w:val="bottom"/>
            <w:gridSpan w:val="2"/>
            <w:vMerge w:val="continue"/>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0" w:type="dxa"/>
            <w:vAlign w:val="bottom"/>
            <w:gridSpan w:val="2"/>
            <w:vMerge w:val="continue"/>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20" w:type="dxa"/>
            <w:vAlign w:val="bottom"/>
            <w:gridSpan w:val="2"/>
            <w:vMerge w:val="continue"/>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760" w:type="dxa"/>
            <w:vAlign w:val="bottom"/>
            <w:gridSpan w:val="2"/>
            <w:vMerge w:val="continue"/>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6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3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30"/>
        </w:trPr>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Borders>
              <w:bottom w:val="single" w:sz="8" w:color="CFF0FC"/>
            </w:tcBorders>
            <w:shd w:val="clear" w:color="auto" w:fill="CFF0FC"/>
          </w:tcPr>
          <w:p>
            <w:pPr>
              <w:spacing w:after="0"/>
              <w:rPr>
                <w:sz w:val="17"/>
                <w:szCs w:val="17"/>
                <w:color w:val="auto"/>
              </w:rPr>
            </w:pPr>
          </w:p>
        </w:tc>
        <w:tc>
          <w:tcPr>
            <w:tcW w:w="2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3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7"/>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699.1</w:t>
            </w:r>
          </w:p>
        </w:tc>
        <w:tc>
          <w:tcPr>
            <w:tcW w:w="100" w:type="dxa"/>
            <w:vAlign w:val="bottom"/>
          </w:tcPr>
          <w:p>
            <w:pPr>
              <w:spacing w:after="0"/>
              <w:rPr>
                <w:sz w:val="14"/>
                <w:szCs w:val="14"/>
                <w:color w:val="auto"/>
              </w:rPr>
            </w:pPr>
          </w:p>
        </w:tc>
        <w:tc>
          <w:tcPr>
            <w:tcW w:w="2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Balance, December 31, 2024</w:t>
            </w:r>
          </w:p>
        </w:tc>
        <w:tc>
          <w:tcPr>
            <w:tcW w:w="100" w:type="dxa"/>
            <w:vAlign w:val="bottom"/>
          </w:tcPr>
          <w:p>
            <w:pPr>
              <w:spacing w:after="0"/>
              <w:rPr>
                <w:sz w:val="14"/>
                <w:szCs w:val="14"/>
                <w:color w:val="auto"/>
              </w:rPr>
            </w:pPr>
          </w:p>
        </w:tc>
        <w:tc>
          <w:tcPr>
            <w:tcW w:w="38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34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7,462</w:t>
            </w:r>
          </w:p>
        </w:tc>
        <w:tc>
          <w:tcPr>
            <w:tcW w:w="100" w:type="dxa"/>
            <w:vAlign w:val="bottom"/>
          </w:tcPr>
          <w:p>
            <w:pPr>
              <w:spacing w:after="0"/>
              <w:rPr>
                <w:sz w:val="14"/>
                <w:szCs w:val="14"/>
                <w:color w:val="auto"/>
              </w:rPr>
            </w:pPr>
          </w:p>
        </w:tc>
        <w:tc>
          <w:tcPr>
            <w:tcW w:w="540" w:type="dxa"/>
            <w:vAlign w:val="bottom"/>
            <w:tcBorders>
              <w:top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Pr>
          <w:p>
            <w:pPr>
              <w:spacing w:after="0"/>
              <w:rPr>
                <w:sz w:val="14"/>
                <w:szCs w:val="14"/>
                <w:color w:val="auto"/>
              </w:rPr>
            </w:pPr>
          </w:p>
        </w:tc>
        <w:tc>
          <w:tcPr>
            <w:tcW w:w="400" w:type="dxa"/>
            <w:vAlign w:val="bottom"/>
            <w:tcBorders>
              <w:top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80" w:type="dxa"/>
            <w:vAlign w:val="bottom"/>
          </w:tcPr>
          <w:p>
            <w:pPr>
              <w:spacing w:after="0"/>
              <w:rPr>
                <w:sz w:val="14"/>
                <w:szCs w:val="14"/>
                <w:color w:val="auto"/>
              </w:rPr>
            </w:pPr>
          </w:p>
        </w:tc>
        <w:tc>
          <w:tcPr>
            <w:tcW w:w="560" w:type="dxa"/>
            <w:vAlign w:val="bottom"/>
            <w:tcBorders>
              <w:top w:val="single" w:sz="8" w:color="auto"/>
            </w:tcBorders>
          </w:tcPr>
          <w:p>
            <w:pPr>
              <w:jc w:val="right"/>
              <w:ind w:right="4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32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6,612</w:t>
            </w:r>
          </w:p>
        </w:tc>
        <w:tc>
          <w:tcPr>
            <w:tcW w:w="80" w:type="dxa"/>
            <w:vAlign w:val="bottom"/>
          </w:tcPr>
          <w:p>
            <w:pPr>
              <w:spacing w:after="0"/>
              <w:rPr>
                <w:sz w:val="14"/>
                <w:szCs w:val="14"/>
                <w:color w:val="auto"/>
              </w:rPr>
            </w:pPr>
          </w:p>
        </w:tc>
        <w:tc>
          <w:tcPr>
            <w:tcW w:w="46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30"/>
        </w:trPr>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0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8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8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8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3"/>
        </w:trPr>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changes in ownership</w:t>
            </w:r>
          </w:p>
        </w:tc>
        <w:tc>
          <w:tcPr>
            <w:tcW w:w="3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3086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8" w:lineRule="exact"/>
        <w:rPr>
          <w:sz w:val="20"/>
          <w:szCs w:val="20"/>
          <w:color w:val="auto"/>
        </w:rPr>
      </w:pPr>
    </w:p>
    <w:p>
      <w:pPr>
        <w:ind w:left="1200" w:right="8280" w:hanging="418"/>
        <w:spacing w:after="0" w:line="238" w:lineRule="auto"/>
        <w:rPr>
          <w:sz w:val="20"/>
          <w:szCs w:val="20"/>
          <w:color w:val="auto"/>
        </w:rPr>
      </w:pPr>
      <w:r>
        <w:rPr>
          <w:rFonts w:ascii="Times New Roman" w:cs="Times New Roman" w:eastAsia="Times New Roman" w:hAnsi="Times New Roman"/>
          <w:sz w:val="13"/>
          <w:szCs w:val="13"/>
          <w:color w:val="auto"/>
        </w:rPr>
        <w:t>— Foreign currency translation and other comprehensive income (loss)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unconsolidated affiliates</w:t>
            </w:r>
          </w:p>
        </w:tc>
        <w:tc>
          <w:tcPr>
            <w:tcW w:w="3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Amounts reclassified from Other</w:t>
            </w:r>
          </w:p>
        </w:tc>
        <w:tc>
          <w:tcPr>
            <w:tcW w:w="380" w:type="dxa"/>
            <w:vAlign w:val="bottom"/>
          </w:tcPr>
          <w:p>
            <w:pPr>
              <w:spacing w:after="0"/>
              <w:rPr>
                <w:sz w:val="15"/>
                <w:szCs w:val="15"/>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1020" w:type="dxa"/>
            <w:vAlign w:val="bottom"/>
            <w:gridSpan w:val="2"/>
            <w:vMerge w:val="continue"/>
          </w:tcPr>
          <w:p>
            <w:pPr>
              <w:spacing w:after="0"/>
              <w:rPr>
                <w:sz w:val="14"/>
                <w:szCs w:val="14"/>
                <w:color w:val="auto"/>
              </w:rPr>
            </w:pPr>
          </w:p>
        </w:tc>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Comprehensive Income</w:t>
            </w:r>
          </w:p>
        </w:tc>
        <w:tc>
          <w:tcPr>
            <w:tcW w:w="3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FF0FC"/>
          </w:tcPr>
          <w:p>
            <w:pPr>
              <w:spacing w:after="0"/>
              <w:rPr>
                <w:sz w:val="14"/>
                <w:szCs w:val="14"/>
                <w:color w:val="auto"/>
              </w:rPr>
            </w:pPr>
          </w:p>
        </w:tc>
        <w:tc>
          <w:tcPr>
            <w:tcW w:w="2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Comprehensive stock and employee stock</w:t>
            </w:r>
          </w:p>
        </w:tc>
        <w:tc>
          <w:tcPr>
            <w:tcW w:w="380" w:type="dxa"/>
            <w:vAlign w:val="bottom"/>
            <w:shd w:val="clear" w:color="auto" w:fill="CFF0FC"/>
          </w:tcPr>
          <w:p>
            <w:pPr>
              <w:spacing w:after="0"/>
              <w:rPr>
                <w:sz w:val="14"/>
                <w:szCs w:val="14"/>
                <w:color w:val="auto"/>
              </w:rPr>
            </w:pPr>
          </w:p>
        </w:tc>
        <w:tc>
          <w:tcPr>
            <w:tcW w:w="5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4"/>
                <w:szCs w:val="14"/>
                <w:color w:val="auto"/>
              </w:rPr>
            </w:pPr>
          </w:p>
        </w:tc>
        <w:tc>
          <w:tcPr>
            <w:tcW w:w="720" w:type="dxa"/>
            <w:vAlign w:val="bottom"/>
            <w:gridSpan w:val="2"/>
            <w:vMerge w:val="restart"/>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spacing w:after="0"/>
              <w:rPr>
                <w:sz w:val="14"/>
                <w:szCs w:val="14"/>
                <w:color w:val="auto"/>
              </w:rPr>
            </w:pPr>
          </w:p>
        </w:tc>
        <w:tc>
          <w:tcPr>
            <w:tcW w:w="7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purchase plans</w:t>
            </w:r>
          </w:p>
        </w:tc>
        <w:tc>
          <w:tcPr>
            <w:tcW w:w="380" w:type="dxa"/>
            <w:vAlign w:val="bottom"/>
            <w:shd w:val="clear" w:color="auto" w:fill="CFF0FC"/>
          </w:tcPr>
          <w:p>
            <w:pPr>
              <w:spacing w:after="0"/>
              <w:rPr>
                <w:sz w:val="15"/>
                <w:szCs w:val="15"/>
                <w:color w:val="auto"/>
              </w:rPr>
            </w:pPr>
          </w:p>
        </w:tc>
        <w:tc>
          <w:tcPr>
            <w:tcW w:w="560" w:type="dxa"/>
            <w:vAlign w:val="bottom"/>
            <w:gridSpan w:val="2"/>
            <w:vMerge w:val="continue"/>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0" w:type="dxa"/>
            <w:vAlign w:val="bottom"/>
            <w:gridSpan w:val="2"/>
            <w:vMerge w:val="continue"/>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20" w:type="dxa"/>
            <w:vAlign w:val="bottom"/>
            <w:gridSpan w:val="2"/>
            <w:vMerge w:val="continue"/>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760" w:type="dxa"/>
            <w:vAlign w:val="bottom"/>
            <w:gridSpan w:val="2"/>
            <w:vMerge w:val="continue"/>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6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Common stock dividends</w:t>
            </w:r>
          </w:p>
        </w:tc>
        <w:tc>
          <w:tcPr>
            <w:tcW w:w="3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9"/>
              </w:rPr>
              <w:t>(658)</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OP unit issuances</w:t>
            </w:r>
          </w:p>
        </w:tc>
        <w:tc>
          <w:tcPr>
            <w:tcW w:w="38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gridSpan w:val="2"/>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57"/>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Pr>
          <w:p>
            <w:pPr>
              <w:spacing w:after="0"/>
              <w:rPr>
                <w:sz w:val="13"/>
                <w:szCs w:val="13"/>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Redemptions of limited partner interests for</w:t>
            </w:r>
          </w:p>
        </w:tc>
        <w:tc>
          <w:tcPr>
            <w:tcW w:w="380" w:type="dxa"/>
            <w:vAlign w:val="bottom"/>
          </w:tcPr>
          <w:p>
            <w:pPr>
              <w:spacing w:after="0"/>
              <w:rPr>
                <w:sz w:val="13"/>
                <w:szCs w:val="13"/>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common stock</w:t>
            </w:r>
          </w:p>
        </w:tc>
        <w:tc>
          <w:tcPr>
            <w:tcW w:w="3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38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gridSpan w:val="2"/>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73"/>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tcPr>
          <w:p>
            <w:pPr>
              <w:spacing w:after="0"/>
              <w:rPr>
                <w:sz w:val="15"/>
                <w:szCs w:val="15"/>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3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687.8</w:t>
            </w:r>
          </w:p>
        </w:tc>
        <w:tc>
          <w:tcPr>
            <w:tcW w:w="100" w:type="dxa"/>
            <w:vAlign w:val="bottom"/>
            <w:tcBorders>
              <w:bottom w:val="single" w:sz="8" w:color="CFF0FC"/>
            </w:tcBorders>
            <w:shd w:val="clear" w:color="auto" w:fill="CFF0FC"/>
          </w:tcPr>
          <w:p>
            <w:pPr>
              <w:spacing w:after="0"/>
              <w:rPr>
                <w:sz w:val="18"/>
                <w:szCs w:val="18"/>
                <w:color w:val="auto"/>
              </w:rPr>
            </w:pPr>
          </w:p>
        </w:tc>
        <w:tc>
          <w:tcPr>
            <w:tcW w:w="2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December 31, 2025</w:t>
            </w:r>
          </w:p>
        </w:tc>
        <w:tc>
          <w:tcPr>
            <w:tcW w:w="380" w:type="dxa"/>
            <w:vAlign w:val="bottom"/>
            <w:tcBorders>
              <w:bottom w:val="single" w:sz="8" w:color="CFF0FC"/>
            </w:tcBorders>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7,289</w:t>
            </w:r>
          </w:p>
        </w:tc>
        <w:tc>
          <w:tcPr>
            <w:tcW w:w="1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w w:val="99"/>
              </w:rPr>
              <w:t>(670)</w:t>
            </w:r>
          </w:p>
        </w:tc>
        <w:tc>
          <w:tcPr>
            <w:tcW w:w="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ind w:right="4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6,561</w:t>
            </w:r>
          </w:p>
        </w:tc>
        <w:tc>
          <w:tcPr>
            <w:tcW w:w="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rPr>
                <w:sz w:val="1"/>
                <w:szCs w:val="1"/>
                <w:color w:val="auto"/>
              </w:rPr>
            </w:pP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HOST HOTELS &amp; RESORTS,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692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3"/>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92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CFF0FC"/>
            </w:tcBorders>
            <w:shd w:val="clear" w:color="auto" w:fill="CFF0FC"/>
          </w:tcPr>
          <w:p>
            <w:pPr>
              <w:spacing w:after="0"/>
              <w:rPr>
                <w:sz w:val="15"/>
                <w:szCs w:val="15"/>
                <w:color w:val="auto"/>
              </w:rPr>
            </w:pPr>
          </w:p>
        </w:tc>
      </w:tr>
      <w:tr>
        <w:trPr>
          <w:trHeight w:val="193"/>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Pr>
          <w:p>
            <w:pPr>
              <w:jc w:val="right"/>
              <w:ind w:right="742"/>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776</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r>
      <w:tr>
        <w:trPr>
          <w:trHeight w:val="23"/>
        </w:trPr>
        <w:tc>
          <w:tcPr>
            <w:tcW w:w="6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9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r>
      <w:tr>
        <w:trPr>
          <w:trHeight w:val="193"/>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r>
      <w:tr>
        <w:trPr>
          <w:trHeight w:val="23"/>
        </w:trPr>
        <w:tc>
          <w:tcPr>
            <w:tcW w:w="6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Amortization of finance costs, discounts and premiums, net</w:t>
            </w:r>
          </w:p>
        </w:tc>
        <w:tc>
          <w:tcPr>
            <w:tcW w:w="9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3"/>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92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3"/>
        </w:trPr>
        <w:tc>
          <w:tcPr>
            <w:tcW w:w="6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Non-cash stock-based compensation expense</w:t>
            </w:r>
          </w:p>
        </w:tc>
        <w:tc>
          <w:tcPr>
            <w:tcW w:w="9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93"/>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92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3"/>
        </w:trPr>
        <w:tc>
          <w:tcPr>
            <w:tcW w:w="6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gains</w:t>
            </w:r>
          </w:p>
        </w:tc>
        <w:tc>
          <w:tcPr>
            <w:tcW w:w="9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93"/>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property insurance settlement</w:t>
            </w:r>
          </w:p>
        </w:tc>
        <w:tc>
          <w:tcPr>
            <w:tcW w:w="92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3"/>
        </w:trPr>
        <w:tc>
          <w:tcPr>
            <w:tcW w:w="6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in earnings of affiliates</w:t>
            </w:r>
          </w:p>
        </w:tc>
        <w:tc>
          <w:tcPr>
            <w:tcW w:w="9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3"/>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due from/to managers</w:t>
            </w:r>
          </w:p>
        </w:tc>
        <w:tc>
          <w:tcPr>
            <w:tcW w:w="92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3"/>
        </w:trPr>
        <w:tc>
          <w:tcPr>
            <w:tcW w:w="6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Distributions from investments in affiliates</w:t>
            </w:r>
          </w:p>
        </w:tc>
        <w:tc>
          <w:tcPr>
            <w:tcW w:w="9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3"/>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insurance proceeds - remediation costs</w:t>
            </w:r>
          </w:p>
        </w:tc>
        <w:tc>
          <w:tcPr>
            <w:tcW w:w="92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23"/>
        </w:trPr>
        <w:tc>
          <w:tcPr>
            <w:tcW w:w="6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Payments for inventory costs</w:t>
            </w:r>
          </w:p>
        </w:tc>
        <w:tc>
          <w:tcPr>
            <w:tcW w:w="9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3"/>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 in inventory for units sold</w:t>
            </w:r>
          </w:p>
        </w:tc>
        <w:tc>
          <w:tcPr>
            <w:tcW w:w="92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Changes in other assets</w:t>
            </w:r>
          </w:p>
        </w:tc>
        <w:tc>
          <w:tcPr>
            <w:tcW w:w="9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3"/>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other liabilities</w:t>
            </w: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23"/>
        </w:trPr>
        <w:tc>
          <w:tcPr>
            <w:tcW w:w="692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0"/>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1,510</w:t>
            </w: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1,441</w:t>
            </w:r>
          </w:p>
        </w:tc>
      </w:tr>
      <w:tr>
        <w:trPr>
          <w:trHeight w:val="88"/>
        </w:trPr>
        <w:tc>
          <w:tcPr>
            <w:tcW w:w="692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r>
      <w:tr>
        <w:trPr>
          <w:trHeight w:val="196"/>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9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r>
      <w:tr>
        <w:trPr>
          <w:trHeight w:val="193"/>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sales of assets, net</w:t>
            </w:r>
          </w:p>
        </w:tc>
        <w:tc>
          <w:tcPr>
            <w:tcW w:w="92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3"/>
        </w:trPr>
        <w:tc>
          <w:tcPr>
            <w:tcW w:w="6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(issuance of) loan receivable</w:t>
            </w:r>
          </w:p>
        </w:tc>
        <w:tc>
          <w:tcPr>
            <w:tcW w:w="9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w:t>
            </w:r>
          </w:p>
        </w:tc>
      </w:tr>
      <w:tr>
        <w:trPr>
          <w:trHeight w:val="193"/>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of investments in affiliates</w:t>
            </w:r>
          </w:p>
        </w:tc>
        <w:tc>
          <w:tcPr>
            <w:tcW w:w="92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3"/>
        </w:trPr>
        <w:tc>
          <w:tcPr>
            <w:tcW w:w="6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Advances to and investments in affiliates</w:t>
            </w:r>
          </w:p>
        </w:tc>
        <w:tc>
          <w:tcPr>
            <w:tcW w:w="9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93"/>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Acquisitions</w:t>
            </w: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9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r>
      <w:tr>
        <w:trPr>
          <w:trHeight w:val="193"/>
        </w:trPr>
        <w:tc>
          <w:tcPr>
            <w:tcW w:w="6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Renewals and replacements</w:t>
            </w: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r>
      <w:tr>
        <w:trPr>
          <w:trHeight w:val="23"/>
        </w:trPr>
        <w:tc>
          <w:tcPr>
            <w:tcW w:w="6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Return on investment</w:t>
            </w:r>
          </w:p>
        </w:tc>
        <w:tc>
          <w:tcPr>
            <w:tcW w:w="9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193"/>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insurance proceeds</w:t>
            </w:r>
          </w:p>
        </w:tc>
        <w:tc>
          <w:tcPr>
            <w:tcW w:w="92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3"/>
        </w:trPr>
        <w:tc>
          <w:tcPr>
            <w:tcW w:w="692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0"/>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w:t>
            </w:r>
          </w:p>
        </w:tc>
      </w:tr>
      <w:tr>
        <w:trPr>
          <w:trHeight w:val="88"/>
        </w:trPr>
        <w:tc>
          <w:tcPr>
            <w:tcW w:w="692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r>
      <w:tr>
        <w:trPr>
          <w:trHeight w:val="196"/>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9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r>
      <w:tr>
        <w:trPr>
          <w:trHeight w:val="193"/>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costs</w:t>
            </w: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3"/>
        </w:trPr>
        <w:tc>
          <w:tcPr>
            <w:tcW w:w="6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Issuances of debt</w:t>
            </w:r>
          </w:p>
        </w:tc>
        <w:tc>
          <w:tcPr>
            <w:tcW w:w="9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892</w:t>
            </w: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Draws on credit facility</w:t>
            </w:r>
          </w:p>
        </w:tc>
        <w:tc>
          <w:tcPr>
            <w:tcW w:w="92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Repayment of credit facility</w:t>
            </w:r>
          </w:p>
        </w:tc>
        <w:tc>
          <w:tcPr>
            <w:tcW w:w="9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Repurchase/redemption of senior notes</w:t>
            </w: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Mortgage debt and other prepayments and scheduled maturities</w:t>
            </w:r>
          </w:p>
        </w:tc>
        <w:tc>
          <w:tcPr>
            <w:tcW w:w="9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3"/>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extinguishment costs</w:t>
            </w:r>
          </w:p>
        </w:tc>
        <w:tc>
          <w:tcPr>
            <w:tcW w:w="92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3"/>
        </w:trPr>
        <w:tc>
          <w:tcPr>
            <w:tcW w:w="6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 repurchases</w:t>
            </w:r>
          </w:p>
        </w:tc>
        <w:tc>
          <w:tcPr>
            <w:tcW w:w="9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w:t>
            </w:r>
          </w:p>
        </w:tc>
      </w:tr>
      <w:tr>
        <w:trPr>
          <w:trHeight w:val="193"/>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r>
      <w:tr>
        <w:trPr>
          <w:trHeight w:val="23"/>
        </w:trPr>
        <w:tc>
          <w:tcPr>
            <w:tcW w:w="6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Distributions and payments to non-controlling interests</w:t>
            </w:r>
          </w:p>
        </w:tc>
        <w:tc>
          <w:tcPr>
            <w:tcW w:w="9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2"/>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4"/>
        </w:trPr>
        <w:tc>
          <w:tcPr>
            <w:tcW w:w="692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0"/>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(771)</w:t>
            </w:r>
          </w:p>
        </w:tc>
      </w:tr>
      <w:tr>
        <w:trPr>
          <w:trHeight w:val="186"/>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Effects of exchange rate changes on cash held</w:t>
            </w:r>
          </w:p>
        </w:tc>
        <w:tc>
          <w:tcPr>
            <w:tcW w:w="9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4"/>
        </w:trPr>
        <w:tc>
          <w:tcPr>
            <w:tcW w:w="692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 AND RESTRICTED CASH</w:t>
            </w:r>
          </w:p>
        </w:tc>
        <w:tc>
          <w:tcPr>
            <w:tcW w:w="92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489</w:t>
            </w:r>
          </w:p>
        </w:tc>
      </w:tr>
      <w:tr>
        <w:trPr>
          <w:trHeight w:val="192"/>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BEGINNING OF PERIOD</w:t>
            </w:r>
          </w:p>
        </w:tc>
        <w:tc>
          <w:tcPr>
            <w:tcW w:w="92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r>
      <w:tr>
        <w:trPr>
          <w:trHeight w:val="24"/>
        </w:trPr>
        <w:tc>
          <w:tcPr>
            <w:tcW w:w="692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5"/>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END OF PERIOD</w:t>
            </w:r>
          </w:p>
        </w:tc>
        <w:tc>
          <w:tcPr>
            <w:tcW w:w="920" w:type="dxa"/>
            <w:vAlign w:val="bottom"/>
            <w:tcBorders>
              <w:bottom w:val="single" w:sz="8" w:color="auto"/>
            </w:tcBorders>
            <w:shd w:val="clear" w:color="auto" w:fill="CFF0FC"/>
          </w:tcPr>
          <w:p>
            <w:pPr>
              <w:jc w:val="right"/>
              <w:ind w:right="742"/>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937</w:t>
            </w: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1,363</w:t>
            </w:r>
          </w:p>
        </w:tc>
      </w:tr>
      <w:tr>
        <w:trPr>
          <w:trHeight w:val="20"/>
        </w:trPr>
        <w:tc>
          <w:tcPr>
            <w:tcW w:w="69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 (in millions):</w:t>
      </w:r>
    </w:p>
    <w:p>
      <w:pPr>
        <w:spacing w:after="0" w:line="20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on the balance sheet to the amount shown on the statements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6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5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included in furniture, fixtures and equipment replacement fund</w:t>
            </w:r>
          </w:p>
        </w:tc>
        <w:tc>
          <w:tcPr>
            <w:tcW w:w="94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5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 and restricted cash shown in the statements of cash flows</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22"/>
                <w:szCs w:val="22"/>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0"/>
        </w:trPr>
        <w:tc>
          <w:tcPr>
            <w:tcW w:w="6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p>
      <w:pPr>
        <w:spacing w:after="0" w:line="20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During 2025, 2024, and 2023, Host Inc. issued approximately 0.8 million, 0.3 million and 0.5 million shares of common stock, respectively, upon the conversion of Host L.P. units, or OP units, held by non-controlling interests valued at $12 million, $6 million and $8 million, respectively.</w:t>
      </w:r>
    </w:p>
    <w:p>
      <w:pPr>
        <w:spacing w:after="0" w:line="121"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sales of Washington Marriott at Metro Center in August 2025 and The Camby, Autograph Collection in March 2023, we issued loans to the buyers for $114 million and $72 million, respectively. The proceeds received from the sales are net of the loans.</w:t>
      </w:r>
    </w:p>
    <w:p>
      <w:pPr>
        <w:spacing w:after="0" w:line="12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2025, we paid a contingent consideration to Noble Investment Group, LLC based on certain thresholds being met under the definitive agreements with Noble Investment Group, LLC, agreed to with our initial investment in 2022. The payment consisted of $8 million in cash and issuance by Host L.P. of approximately 1.0 million OP units valued at approximately $18 million.</w:t>
      </w:r>
    </w:p>
    <w:p>
      <w:pPr>
        <w:spacing w:after="0" w:line="14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In 2024, non-cash consideration for the acquisition of The Ritz-Carlton O'ahu, Turtle Bay included the assumption of hotel level liabilities of approximately $15 million, consisting primarily of obligations to provide future services due to advance deposits.</w:t>
      </w:r>
    </w:p>
    <w:p>
      <w:pPr>
        <w:spacing w:after="0" w:line="118" w:lineRule="exact"/>
        <w:rPr>
          <w:sz w:val="20"/>
          <w:szCs w:val="20"/>
          <w:color w:val="auto"/>
        </w:rPr>
      </w:pPr>
    </w:p>
    <w:p>
      <w:pPr>
        <w:ind w:right="140" w:firstLine="648"/>
        <w:spacing w:after="0" w:line="230" w:lineRule="auto"/>
        <w:rPr>
          <w:sz w:val="20"/>
          <w:szCs w:val="20"/>
          <w:color w:val="auto"/>
        </w:rPr>
      </w:pPr>
      <w:r>
        <w:rPr>
          <w:rFonts w:ascii="Times New Roman" w:cs="Times New Roman" w:eastAsia="Times New Roman" w:hAnsi="Times New Roman"/>
          <w:sz w:val="18"/>
          <w:szCs w:val="18"/>
          <w:color w:val="auto"/>
        </w:rPr>
        <w:t>During 2023, the intent for a land parcel adjacent to the Four Seasons Resort Orlando at Walt Disney World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Resort changed from "held for use" to "used for the development of inventory". As a result, we have reclassified $30 million from property and equipment to other assets.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504"/>
        </w:trPr>
        <w:tc>
          <w:tcPr>
            <w:tcW w:w="8180" w:type="dxa"/>
            <w:vAlign w:val="bottom"/>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6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managers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6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Advances to and investments in affiliates</w:t>
            </w:r>
          </w:p>
        </w:tc>
        <w:tc>
          <w:tcPr>
            <w:tcW w:w="18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 replacement fund</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6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18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57"/>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13,048</w:t>
            </w:r>
          </w:p>
        </w:tc>
      </w:tr>
      <w:tr>
        <w:trPr>
          <w:trHeight w:val="21"/>
        </w:trPr>
        <w:tc>
          <w:tcPr>
            <w:tcW w:w="81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3"/>
        </w:trPr>
        <w:tc>
          <w:tcPr>
            <w:tcW w:w="8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r>
      <w:tr>
        <w:trPr>
          <w:trHeight w:val="250"/>
        </w:trPr>
        <w:tc>
          <w:tcPr>
            <w:tcW w:w="9760" w:type="dxa"/>
            <w:vAlign w:val="bottom"/>
            <w:gridSpan w:val="4"/>
          </w:tcPr>
          <w:p>
            <w:pPr>
              <w:ind w:left="1940"/>
              <w:spacing w:after="0"/>
              <w:rPr>
                <w:sz w:val="20"/>
                <w:szCs w:val="20"/>
                <w:color w:val="auto"/>
              </w:rPr>
            </w:pPr>
            <w:r>
              <w:rPr>
                <w:rFonts w:ascii="Times New Roman" w:cs="Times New Roman" w:eastAsia="Times New Roman" w:hAnsi="Times New Roman"/>
                <w:sz w:val="18"/>
                <w:szCs w:val="18"/>
                <w:b w:val="1"/>
                <w:bCs w:val="1"/>
                <w:color w:val="auto"/>
              </w:rPr>
              <w:t>LIABILITIES, LIMITED PARTNERSHIP INTERESTS OF THIRD PARTIES AND CAPITAL</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8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r>
      <w:tr>
        <w:trPr>
          <w:trHeight w:val="263"/>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Credit facility, including the term loans of $999 and $998, respectively</w:t>
            </w:r>
          </w:p>
        </w:tc>
        <w:tc>
          <w:tcPr>
            <w:tcW w:w="18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50"/>
        </w:trPr>
        <w:tc>
          <w:tcPr>
            <w:tcW w:w="818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Mortgage and other debt</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57"/>
        </w:trPr>
        <w:tc>
          <w:tcPr>
            <w:tcW w:w="81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6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managers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6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43"/>
        </w:trPr>
        <w:tc>
          <w:tcPr>
            <w:tcW w:w="818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6,271</w:t>
            </w:r>
          </w:p>
        </w:tc>
      </w:tr>
      <w:tr>
        <w:trPr>
          <w:trHeight w:val="257"/>
        </w:trPr>
        <w:tc>
          <w:tcPr>
            <w:tcW w:w="8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 partnership interests of third parties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7"/>
        </w:trPr>
        <w:tc>
          <w:tcPr>
            <w:tcW w:w="81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Host Hotels &amp; Resorts, L.P. capital:</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3"/>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partner</w:t>
            </w:r>
          </w:p>
        </w:tc>
        <w:tc>
          <w:tcPr>
            <w:tcW w:w="18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Limited partner</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w:t>
            </w:r>
          </w:p>
        </w:tc>
      </w:tr>
      <w:tr>
        <w:trPr>
          <w:trHeight w:val="263"/>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Host Hotels &amp; Resorts, L.P. capital</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w:t>
            </w:r>
          </w:p>
        </w:tc>
      </w:tr>
      <w:tr>
        <w:trPr>
          <w:trHeight w:val="26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interests—consolidated partnerships</w:t>
            </w:r>
          </w:p>
        </w:tc>
        <w:tc>
          <w:tcPr>
            <w:tcW w:w="18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4"/>
        </w:trPr>
        <w:tc>
          <w:tcPr>
            <w:tcW w:w="818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capital</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w:t>
            </w:r>
          </w:p>
        </w:tc>
      </w:tr>
      <w:tr>
        <w:trPr>
          <w:trHeight w:val="275"/>
        </w:trPr>
        <w:tc>
          <w:tcPr>
            <w:tcW w:w="81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liabilities, limited partnership interests of third parties and capital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13,048</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common unit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6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63"/>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Rooms</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3,608</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w:t>
            </w:r>
          </w:p>
        </w:tc>
      </w:tr>
      <w:tr>
        <w:trPr>
          <w:trHeight w:val="25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Food and beverage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63"/>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5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Condominium sales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60" w:type="dxa"/>
            <w:vAlign w:val="bottom"/>
            <w:tcBorders>
              <w:top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880" w:type="dxa"/>
            <w:vAlign w:val="bottom"/>
            <w:tcBorders>
              <w:top w:val="single" w:sz="8" w:color="auto"/>
              <w:bottom w:val="single" w:sz="8" w:color="auto"/>
            </w:tcBorders>
            <w:shd w:val="clear" w:color="auto" w:fill="CFF0FC"/>
          </w:tcPr>
          <w:p>
            <w:pPr>
              <w:spacing w:after="0"/>
              <w:rPr>
                <w:sz w:val="22"/>
                <w:szCs w:val="22"/>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6,114</w:t>
            </w:r>
          </w:p>
        </w:tc>
        <w:tc>
          <w:tcPr>
            <w:tcW w:w="100" w:type="dxa"/>
            <w:vAlign w:val="bottom"/>
            <w:tcBorders>
              <w:top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spacing w:after="0"/>
              <w:rPr>
                <w:sz w:val="22"/>
                <w:szCs w:val="22"/>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100" w:type="dxa"/>
            <w:vAlign w:val="bottom"/>
            <w:tcBorders>
              <w:top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spacing w:after="0"/>
              <w:rPr>
                <w:sz w:val="22"/>
                <w:szCs w:val="22"/>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5,311</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3"/>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Rooms</w:t>
            </w:r>
          </w:p>
        </w:tc>
        <w:tc>
          <w:tcPr>
            <w:tcW w:w="88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5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Food and beverage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63"/>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departmental and support expenses</w:t>
            </w:r>
          </w:p>
        </w:tc>
        <w:tc>
          <w:tcPr>
            <w:tcW w:w="88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1,466</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5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 fees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63"/>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property-level expenses</w:t>
            </w:r>
          </w:p>
        </w:tc>
        <w:tc>
          <w:tcPr>
            <w:tcW w:w="88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5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63"/>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goods sold</w:t>
            </w:r>
          </w:p>
        </w:tc>
        <w:tc>
          <w:tcPr>
            <w:tcW w:w="88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57"/>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gain on insurance settlements</w:t>
            </w:r>
          </w:p>
        </w:tc>
        <w:tc>
          <w:tcPr>
            <w:tcW w:w="88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50"/>
        </w:trPr>
        <w:tc>
          <w:tcPr>
            <w:tcW w:w="696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5,259</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4,484</w:t>
            </w:r>
          </w:p>
        </w:tc>
      </w:tr>
      <w:tr>
        <w:trPr>
          <w:trHeight w:val="256"/>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88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5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63"/>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50"/>
        </w:trPr>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gains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63"/>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Equity in earnings of affiliates</w:t>
            </w:r>
          </w:p>
        </w:tc>
        <w:tc>
          <w:tcPr>
            <w:tcW w:w="88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63"/>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8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57"/>
        </w:trPr>
        <w:tc>
          <w:tcPr>
            <w:tcW w:w="6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88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HOST HOTELS &amp; RESORTS, L.P.</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0"/>
        </w:trPr>
        <w:tc>
          <w:tcPr>
            <w:tcW w:w="696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5"/>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unit</w:t>
            </w: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69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r>
      <w:tr>
        <w:trPr>
          <w:trHeight w:val="231"/>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unit</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6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6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5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 comprehensive income (loss) of unconsolidated affiliates</w:t>
            </w:r>
          </w:p>
        </w:tc>
        <w:tc>
          <w:tcPr>
            <w:tcW w:w="94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94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Amounts reclassified from other comprehensive income</w:t>
            </w:r>
          </w:p>
        </w:tc>
        <w:tc>
          <w:tcPr>
            <w:tcW w:w="94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9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4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50"/>
        </w:trPr>
        <w:tc>
          <w:tcPr>
            <w:tcW w:w="69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9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2"/>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HOST HOTELS &amp; RESORTS, L.P.</w:t>
            </w: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0"/>
        </w:trPr>
        <w:tc>
          <w:tcPr>
            <w:tcW w:w="69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HOST HOTELS &amp; RESORTS, L.P.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CAPITAL</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42"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9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left="119"/>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Common OP</w:t>
            </w:r>
          </w:p>
        </w:tc>
        <w:tc>
          <w:tcPr>
            <w:tcW w:w="2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left="119"/>
              <w:spacing w:after="0"/>
              <w:rPr>
                <w:sz w:val="20"/>
                <w:szCs w:val="20"/>
                <w:color w:val="auto"/>
              </w:rPr>
            </w:pPr>
            <w:r>
              <w:rPr>
                <w:rFonts w:ascii="Times New Roman" w:cs="Times New Roman" w:eastAsia="Times New Roman" w:hAnsi="Times New Roman"/>
                <w:sz w:val="13"/>
                <w:szCs w:val="13"/>
                <w:b w:val="1"/>
                <w:bCs w:val="1"/>
                <w:color w:val="auto"/>
                <w:w w:val="95"/>
              </w:rPr>
              <w:t>Interests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Limited Partnership</w:t>
            </w:r>
          </w:p>
        </w:tc>
      </w:tr>
      <w:tr>
        <w:trPr>
          <w:trHeight w:val="135"/>
        </w:trPr>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Units</w:t>
            </w:r>
          </w:p>
        </w:tc>
        <w:tc>
          <w:tcPr>
            <w:tcW w:w="2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020" w:type="dxa"/>
            <w:vAlign w:val="bottom"/>
          </w:tcPr>
          <w:p>
            <w:pPr>
              <w:jc w:val="center"/>
              <w:ind w:left="119"/>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Consolidated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Interests of Third</w:t>
            </w:r>
          </w:p>
        </w:tc>
      </w:tr>
      <w:tr>
        <w:trPr>
          <w:trHeight w:val="189"/>
        </w:trPr>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2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General Partner</w:t>
            </w:r>
          </w:p>
        </w:tc>
        <w:tc>
          <w:tcPr>
            <w:tcW w:w="8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Limited Partner</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020" w:type="dxa"/>
            <w:vAlign w:val="bottom"/>
          </w:tcPr>
          <w:p>
            <w:pPr>
              <w:jc w:val="center"/>
              <w:ind w:left="119"/>
              <w:spacing w:after="0"/>
              <w:rPr>
                <w:sz w:val="20"/>
                <w:szCs w:val="20"/>
                <w:color w:val="auto"/>
              </w:rPr>
            </w:pPr>
            <w:r>
              <w:rPr>
                <w:rFonts w:ascii="Times New Roman" w:cs="Times New Roman" w:eastAsia="Times New Roman" w:hAnsi="Times New Roman"/>
                <w:sz w:val="13"/>
                <w:szCs w:val="13"/>
                <w:b w:val="1"/>
                <w:bCs w:val="1"/>
                <w:color w:val="auto"/>
                <w:w w:val="95"/>
              </w:rPr>
              <w:t>Partnerships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 Capital</w:t>
            </w:r>
          </w:p>
        </w:tc>
        <w:tc>
          <w:tcPr>
            <w:tcW w:w="100" w:type="dxa"/>
            <w:vAlign w:val="bottom"/>
          </w:tcPr>
          <w:p>
            <w:pPr>
              <w:spacing w:after="0"/>
              <w:rPr>
                <w:sz w:val="16"/>
                <w:szCs w:val="16"/>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Parties</w:t>
            </w:r>
          </w:p>
        </w:tc>
      </w:tr>
      <w:tr>
        <w:trPr>
          <w:trHeight w:val="183"/>
        </w:trPr>
        <w:tc>
          <w:tcPr>
            <w:tcW w:w="9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698.4</w:t>
            </w:r>
          </w:p>
        </w:tc>
        <w:tc>
          <w:tcPr>
            <w:tcW w:w="268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Balance, December 31, 2022</w:t>
            </w:r>
          </w:p>
        </w:tc>
        <w:tc>
          <w:tcPr>
            <w:tcW w:w="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6,784</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020" w:type="dxa"/>
            <w:vAlign w:val="bottom"/>
            <w:tcBorders>
              <w:top w:val="single" w:sz="8" w:color="auto"/>
              <w:bottom w:val="single" w:sz="8" w:color="CFF0FC"/>
            </w:tcBorders>
            <w:shd w:val="clear" w:color="auto" w:fill="CFF0FC"/>
          </w:tcPr>
          <w:p>
            <w:pPr>
              <w:jc w:val="right"/>
              <w:ind w:right="899"/>
              <w:spacing w:after="0"/>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6,715</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164</w:t>
            </w:r>
          </w:p>
        </w:tc>
      </w:tr>
      <w:tr>
        <w:trPr>
          <w:trHeight w:val="173"/>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w:t>
            </w:r>
          </w:p>
        </w:tc>
      </w:tr>
      <w:tr>
        <w:trPr>
          <w:trHeight w:val="29"/>
        </w:trPr>
        <w:tc>
          <w:tcPr>
            <w:tcW w:w="9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73"/>
        </w:trPr>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Other changes in ownership</w:t>
            </w:r>
          </w:p>
        </w:tc>
        <w:tc>
          <w:tcPr>
            <w:tcW w:w="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31</w:t>
            </w:r>
          </w:p>
        </w:tc>
      </w:tr>
      <w:tr>
        <w:trPr>
          <w:trHeight w:val="29"/>
        </w:trPr>
        <w:tc>
          <w:tcPr>
            <w:tcW w:w="960" w:type="dxa"/>
            <w:vAlign w:val="bottom"/>
            <w:shd w:val="clear" w:color="auto" w:fill="CFF0FC"/>
          </w:tcPr>
          <w:p>
            <w:pPr>
              <w:spacing w:after="0"/>
              <w:rPr>
                <w:sz w:val="2"/>
                <w:szCs w:val="2"/>
                <w:color w:val="auto"/>
              </w:rPr>
            </w:pPr>
          </w:p>
        </w:tc>
        <w:tc>
          <w:tcPr>
            <w:tcW w:w="26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r>
    </w:tbl>
    <w:p>
      <w:pPr>
        <w:spacing w:after="0" w:line="9" w:lineRule="exact"/>
        <w:rPr>
          <w:sz w:val="20"/>
          <w:szCs w:val="20"/>
          <w:color w:val="auto"/>
        </w:rPr>
      </w:pPr>
    </w:p>
    <w:p>
      <w:pPr>
        <w:ind w:left="1300" w:right="8100" w:hanging="418"/>
        <w:spacing w:after="0" w:line="238" w:lineRule="auto"/>
        <w:rPr>
          <w:sz w:val="20"/>
          <w:szCs w:val="20"/>
          <w:color w:val="auto"/>
        </w:rPr>
      </w:pPr>
      <w:r>
        <w:rPr>
          <w:rFonts w:ascii="Times New Roman" w:cs="Times New Roman" w:eastAsia="Times New Roman" w:hAnsi="Times New Roman"/>
          <w:sz w:val="13"/>
          <w:szCs w:val="13"/>
          <w:color w:val="auto"/>
        </w:rPr>
        <w:t>— Foreign currency translation and other comprehensive income (loss) of</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unconsolidated affiliates</w:t>
            </w:r>
          </w:p>
        </w:tc>
        <w:tc>
          <w:tcPr>
            <w:tcW w:w="4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10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Change in fair value of derivative instruments</w:t>
            </w:r>
          </w:p>
        </w:tc>
        <w:tc>
          <w:tcPr>
            <w:tcW w:w="48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3"/>
                <w:szCs w:val="13"/>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 issued to Host Inc. for the comprehensive</w:t>
            </w:r>
          </w:p>
        </w:tc>
        <w:tc>
          <w:tcPr>
            <w:tcW w:w="480" w:type="dxa"/>
            <w:vAlign w:val="bottom"/>
          </w:tcPr>
          <w:p>
            <w:pPr>
              <w:spacing w:after="0"/>
              <w:rPr>
                <w:sz w:val="13"/>
                <w:szCs w:val="13"/>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68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stock and employee stock purchase plans</w:t>
            </w:r>
          </w:p>
        </w:tc>
        <w:tc>
          <w:tcPr>
            <w:tcW w:w="4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Distributions on common OP units</w:t>
            </w:r>
          </w:p>
        </w:tc>
        <w:tc>
          <w:tcPr>
            <w:tcW w:w="48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8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10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7"/>
        </w:trPr>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3"/>
                <w:szCs w:val="13"/>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Redemptions of limited partner interests for</w:t>
            </w:r>
          </w:p>
        </w:tc>
        <w:tc>
          <w:tcPr>
            <w:tcW w:w="480" w:type="dxa"/>
            <w:vAlign w:val="bottom"/>
          </w:tcPr>
          <w:p>
            <w:pPr>
              <w:spacing w:after="0"/>
              <w:rPr>
                <w:sz w:val="13"/>
                <w:szCs w:val="13"/>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72"/>
        </w:trPr>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common stock</w:t>
            </w:r>
          </w:p>
        </w:tc>
        <w:tc>
          <w:tcPr>
            <w:tcW w:w="4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48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tcPr>
          <w:p>
            <w:pPr>
              <w:spacing w:after="0"/>
              <w:rPr>
                <w:sz w:val="15"/>
                <w:szCs w:val="15"/>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Repurchase of common OP units</w:t>
            </w:r>
          </w:p>
        </w:tc>
        <w:tc>
          <w:tcPr>
            <w:tcW w:w="4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688.8</w:t>
            </w:r>
          </w:p>
        </w:tc>
        <w:tc>
          <w:tcPr>
            <w:tcW w:w="80" w:type="dxa"/>
            <w:vAlign w:val="bottom"/>
            <w:tcBorders>
              <w:bottom w:val="single" w:sz="8" w:color="CFF0FC"/>
            </w:tcBorders>
            <w:shd w:val="clear" w:color="auto" w:fill="CFF0FC"/>
          </w:tcPr>
          <w:p>
            <w:pPr>
              <w:spacing w:after="0"/>
              <w:rPr>
                <w:sz w:val="17"/>
                <w:szCs w:val="17"/>
                <w:color w:val="auto"/>
              </w:rPr>
            </w:pPr>
          </w:p>
        </w:tc>
        <w:tc>
          <w:tcPr>
            <w:tcW w:w="26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480" w:type="dxa"/>
            <w:vAlign w:val="bottom"/>
            <w:tcBorders>
              <w:bottom w:val="single" w:sz="8" w:color="CFF0FC"/>
            </w:tcBorders>
            <w:shd w:val="clear" w:color="auto" w:fill="CFF0FC"/>
          </w:tcPr>
          <w:p>
            <w:pPr>
              <w:jc w:val="right"/>
              <w:ind w:right="33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6,702</w:t>
            </w:r>
          </w:p>
        </w:tc>
        <w:tc>
          <w:tcPr>
            <w:tcW w:w="8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jc w:val="right"/>
              <w:ind w:right="42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ind w:right="32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6,637</w:t>
            </w:r>
          </w:p>
        </w:tc>
        <w:tc>
          <w:tcPr>
            <w:tcW w:w="1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CFF0FC"/>
            </w:tcBorders>
            <w:shd w:val="clear" w:color="auto" w:fill="CFF0FC"/>
          </w:tcPr>
          <w:p>
            <w:pPr>
              <w:jc w:val="right"/>
              <w:ind w:right="3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189</w:t>
            </w:r>
          </w:p>
        </w:tc>
        <w:tc>
          <w:tcPr>
            <w:tcW w:w="0" w:type="dxa"/>
            <w:vAlign w:val="bottom"/>
          </w:tcPr>
          <w:p>
            <w:pPr>
              <w:spacing w:after="0"/>
              <w:rPr>
                <w:sz w:val="1"/>
                <w:szCs w:val="1"/>
                <w:color w:val="auto"/>
              </w:rPr>
            </w:pPr>
          </w:p>
        </w:tc>
      </w:tr>
      <w:tr>
        <w:trPr>
          <w:trHeight w:val="167"/>
        </w:trPr>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9"/>
        </w:trPr>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changes in ownership</w:t>
            </w:r>
          </w:p>
        </w:tc>
        <w:tc>
          <w:tcPr>
            <w:tcW w:w="4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29"/>
        </w:trPr>
        <w:tc>
          <w:tcPr>
            <w:tcW w:w="9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5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color w:val="auto"/>
        </w:rPr>
        <w:t>—  Foreign currency translation and other</w:t>
      </w:r>
    </w:p>
    <w:tbl>
      <w:tblPr>
        <w:tblLayout w:type="fixed"/>
        <w:tblInd w:w="80" w:type="dxa"/>
        <w:tblCellMar>
          <w:top w:w="0" w:type="dxa"/>
          <w:left w:w="0" w:type="dxa"/>
          <w:bottom w:w="0" w:type="dxa"/>
          <w:right w:w="0" w:type="dxa"/>
        </w:tblCellMar>
      </w:tblPr>
      <w:tr>
        <w:trPr>
          <w:trHeight w:val="148"/>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gridSpan w:val="2"/>
          </w:tcPr>
          <w:p>
            <w:pPr>
              <w:ind w:left="180"/>
              <w:spacing w:after="0" w:line="147" w:lineRule="exact"/>
              <w:rPr>
                <w:sz w:val="20"/>
                <w:szCs w:val="20"/>
                <w:color w:val="auto"/>
              </w:rPr>
            </w:pPr>
            <w:r>
              <w:rPr>
                <w:rFonts w:ascii="Times New Roman" w:cs="Times New Roman" w:eastAsia="Times New Roman" w:hAnsi="Times New Roman"/>
                <w:sz w:val="13"/>
                <w:szCs w:val="13"/>
                <w:color w:val="auto"/>
              </w:rPr>
              <w:t>comprehensive income (loss) of</w:t>
            </w:r>
          </w:p>
        </w:tc>
        <w:tc>
          <w:tcPr>
            <w:tcW w:w="48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unconsolidated affiliates</w:t>
            </w:r>
          </w:p>
        </w:tc>
        <w:tc>
          <w:tcPr>
            <w:tcW w:w="4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Change in fair value of derivative instruments</w:t>
            </w:r>
          </w:p>
        </w:tc>
        <w:tc>
          <w:tcPr>
            <w:tcW w:w="48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Amounts reclassified from Other</w:t>
            </w:r>
          </w:p>
        </w:tc>
        <w:tc>
          <w:tcPr>
            <w:tcW w:w="480" w:type="dxa"/>
            <w:vAlign w:val="bottom"/>
          </w:tcPr>
          <w:p>
            <w:pPr>
              <w:spacing w:after="0"/>
              <w:rPr>
                <w:sz w:val="13"/>
                <w:szCs w:val="13"/>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1040" w:type="dxa"/>
            <w:vAlign w:val="bottom"/>
            <w:gridSpan w:val="2"/>
            <w:vMerge w:val="continue"/>
          </w:tcPr>
          <w:p>
            <w:pPr>
              <w:spacing w:after="0"/>
              <w:rPr>
                <w:sz w:val="14"/>
                <w:szCs w:val="14"/>
                <w:color w:val="auto"/>
              </w:rPr>
            </w:pPr>
          </w:p>
        </w:tc>
        <w:tc>
          <w:tcPr>
            <w:tcW w:w="26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Comprehensive Income</w:t>
            </w:r>
          </w:p>
        </w:tc>
        <w:tc>
          <w:tcPr>
            <w:tcW w:w="4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FF0FC"/>
          </w:tcPr>
          <w:p>
            <w:pPr>
              <w:spacing w:after="0"/>
              <w:rPr>
                <w:sz w:val="14"/>
                <w:szCs w:val="14"/>
                <w:color w:val="auto"/>
              </w:rPr>
            </w:pPr>
          </w:p>
        </w:tc>
        <w:tc>
          <w:tcPr>
            <w:tcW w:w="2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Units issued to Host Inc. for the comprehensive</w:t>
            </w:r>
          </w:p>
        </w:tc>
        <w:tc>
          <w:tcPr>
            <w:tcW w:w="480" w:type="dxa"/>
            <w:vAlign w:val="bottom"/>
            <w:shd w:val="clear" w:color="auto" w:fill="CFF0FC"/>
          </w:tcPr>
          <w:p>
            <w:pPr>
              <w:spacing w:after="0"/>
              <w:rPr>
                <w:sz w:val="14"/>
                <w:szCs w:val="14"/>
                <w:color w:val="auto"/>
              </w:rPr>
            </w:pPr>
          </w:p>
        </w:tc>
        <w:tc>
          <w:tcPr>
            <w:tcW w:w="7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spacing w:after="0"/>
              <w:rPr>
                <w:sz w:val="14"/>
                <w:szCs w:val="14"/>
                <w:color w:val="auto"/>
              </w:rPr>
            </w:pPr>
          </w:p>
        </w:tc>
        <w:tc>
          <w:tcPr>
            <w:tcW w:w="7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4"/>
                <w:szCs w:val="14"/>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stock and employee stock purchase plans</w:t>
            </w:r>
          </w:p>
        </w:tc>
        <w:tc>
          <w:tcPr>
            <w:tcW w:w="480" w:type="dxa"/>
            <w:vAlign w:val="bottom"/>
            <w:shd w:val="clear" w:color="auto" w:fill="CFF0FC"/>
          </w:tcPr>
          <w:p>
            <w:pPr>
              <w:spacing w:after="0"/>
              <w:rPr>
                <w:sz w:val="15"/>
                <w:szCs w:val="15"/>
                <w:color w:val="auto"/>
              </w:rPr>
            </w:pPr>
          </w:p>
        </w:tc>
        <w:tc>
          <w:tcPr>
            <w:tcW w:w="700" w:type="dxa"/>
            <w:vAlign w:val="bottom"/>
            <w:gridSpan w:val="2"/>
            <w:vMerge w:val="continue"/>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0" w:type="dxa"/>
            <w:vAlign w:val="bottom"/>
            <w:gridSpan w:val="2"/>
            <w:vMerge w:val="continue"/>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780" w:type="dxa"/>
            <w:vAlign w:val="bottom"/>
            <w:gridSpan w:val="2"/>
            <w:vMerge w:val="continue"/>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Distributions on common OP units</w:t>
            </w:r>
          </w:p>
        </w:tc>
        <w:tc>
          <w:tcPr>
            <w:tcW w:w="4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30"/>
        </w:trPr>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shd w:val="clear" w:color="auto" w:fill="CFF0FC"/>
          </w:tcPr>
          <w:p>
            <w:pPr>
              <w:spacing w:after="0"/>
              <w:rPr>
                <w:sz w:val="13"/>
                <w:szCs w:val="13"/>
                <w:color w:val="auto"/>
              </w:rPr>
            </w:pPr>
          </w:p>
        </w:tc>
        <w:tc>
          <w:tcPr>
            <w:tcW w:w="2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Redemptions of limited partner interests for</w:t>
            </w:r>
          </w:p>
        </w:tc>
        <w:tc>
          <w:tcPr>
            <w:tcW w:w="480" w:type="dxa"/>
            <w:vAlign w:val="bottom"/>
            <w:shd w:val="clear" w:color="auto" w:fill="CFF0FC"/>
          </w:tcPr>
          <w:p>
            <w:pPr>
              <w:spacing w:after="0"/>
              <w:rPr>
                <w:sz w:val="13"/>
                <w:szCs w:val="13"/>
                <w:color w:val="auto"/>
              </w:rPr>
            </w:pPr>
          </w:p>
        </w:tc>
        <w:tc>
          <w:tcPr>
            <w:tcW w:w="7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3"/>
                <w:szCs w:val="13"/>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80"/>
        </w:trPr>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common stock</w:t>
            </w:r>
          </w:p>
        </w:tc>
        <w:tc>
          <w:tcPr>
            <w:tcW w:w="480" w:type="dxa"/>
            <w:vAlign w:val="bottom"/>
            <w:shd w:val="clear" w:color="auto" w:fill="CFF0FC"/>
          </w:tcPr>
          <w:p>
            <w:pPr>
              <w:spacing w:after="0"/>
              <w:rPr>
                <w:sz w:val="15"/>
                <w:szCs w:val="15"/>
                <w:color w:val="auto"/>
              </w:rPr>
            </w:pPr>
          </w:p>
        </w:tc>
        <w:tc>
          <w:tcPr>
            <w:tcW w:w="700" w:type="dxa"/>
            <w:vAlign w:val="bottom"/>
            <w:gridSpan w:val="2"/>
            <w:vMerge w:val="continue"/>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0" w:type="dxa"/>
            <w:vAlign w:val="bottom"/>
            <w:gridSpan w:val="2"/>
            <w:vMerge w:val="continue"/>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780" w:type="dxa"/>
            <w:vAlign w:val="bottom"/>
            <w:gridSpan w:val="2"/>
            <w:vMerge w:val="continue"/>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4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Borders>
              <w:bottom w:val="single" w:sz="8" w:color="CFF0FC"/>
            </w:tcBorders>
            <w:shd w:val="clear" w:color="auto" w:fill="CFF0FC"/>
          </w:tcPr>
          <w:p>
            <w:pPr>
              <w:spacing w:after="0"/>
              <w:rPr>
                <w:sz w:val="17"/>
                <w:szCs w:val="17"/>
                <w:color w:val="auto"/>
              </w:rPr>
            </w:pPr>
          </w:p>
        </w:tc>
        <w:tc>
          <w:tcPr>
            <w:tcW w:w="26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Repurchase of common OP units</w:t>
            </w:r>
          </w:p>
        </w:tc>
        <w:tc>
          <w:tcPr>
            <w:tcW w:w="48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6"/>
        </w:trPr>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684.4</w:t>
            </w:r>
          </w:p>
        </w:tc>
        <w:tc>
          <w:tcPr>
            <w:tcW w:w="80" w:type="dxa"/>
            <w:vAlign w:val="bottom"/>
          </w:tcPr>
          <w:p>
            <w:pPr>
              <w:spacing w:after="0"/>
              <w:rPr>
                <w:sz w:val="14"/>
                <w:szCs w:val="14"/>
                <w:color w:val="auto"/>
              </w:rPr>
            </w:pPr>
          </w:p>
        </w:tc>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Balance, December 31, 2024</w:t>
            </w:r>
          </w:p>
        </w:tc>
        <w:tc>
          <w:tcPr>
            <w:tcW w:w="100" w:type="dxa"/>
            <w:vAlign w:val="bottom"/>
          </w:tcPr>
          <w:p>
            <w:pPr>
              <w:spacing w:after="0"/>
              <w:rPr>
                <w:sz w:val="14"/>
                <w:szCs w:val="14"/>
                <w:color w:val="auto"/>
              </w:rPr>
            </w:pPr>
          </w:p>
        </w:tc>
        <w:tc>
          <w:tcPr>
            <w:tcW w:w="48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40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6,691</w:t>
            </w:r>
          </w:p>
        </w:tc>
        <w:tc>
          <w:tcPr>
            <w:tcW w:w="80" w:type="dxa"/>
            <w:vAlign w:val="bottom"/>
          </w:tcPr>
          <w:p>
            <w:pPr>
              <w:spacing w:after="0"/>
              <w:rPr>
                <w:sz w:val="14"/>
                <w:szCs w:val="14"/>
                <w:color w:val="auto"/>
              </w:rPr>
            </w:pPr>
          </w:p>
        </w:tc>
        <w:tc>
          <w:tcPr>
            <w:tcW w:w="540" w:type="dxa"/>
            <w:vAlign w:val="bottom"/>
            <w:tcBorders>
              <w:top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Pr>
          <w:p>
            <w:pPr>
              <w:spacing w:after="0"/>
              <w:rPr>
                <w:sz w:val="14"/>
                <w:szCs w:val="14"/>
                <w:color w:val="auto"/>
              </w:rPr>
            </w:pPr>
          </w:p>
        </w:tc>
        <w:tc>
          <w:tcPr>
            <w:tcW w:w="540" w:type="dxa"/>
            <w:vAlign w:val="bottom"/>
            <w:tcBorders>
              <w:top w:val="single" w:sz="8" w:color="auto"/>
            </w:tcBorders>
          </w:tcPr>
          <w:p>
            <w:pPr>
              <w:jc w:val="right"/>
              <w:ind w:right="42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440" w:type="dxa"/>
            <w:vAlign w:val="bottom"/>
            <w:tcBorders>
              <w:top w:val="single" w:sz="8" w:color="auto"/>
            </w:tcBorders>
          </w:tcPr>
          <w:p>
            <w:pPr>
              <w:jc w:val="right"/>
              <w:ind w:right="32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6,612</w:t>
            </w:r>
          </w:p>
        </w:tc>
        <w:tc>
          <w:tcPr>
            <w:tcW w:w="100" w:type="dxa"/>
            <w:vAlign w:val="bottom"/>
          </w:tcPr>
          <w:p>
            <w:pPr>
              <w:spacing w:after="0"/>
              <w:rPr>
                <w:sz w:val="14"/>
                <w:szCs w:val="14"/>
                <w:color w:val="auto"/>
              </w:rPr>
            </w:pPr>
          </w:p>
        </w:tc>
        <w:tc>
          <w:tcPr>
            <w:tcW w:w="500" w:type="dxa"/>
            <w:vAlign w:val="bottom"/>
            <w:tcBorders>
              <w:top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30"/>
        </w:trPr>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0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48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8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10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3"/>
        </w:trPr>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changes in ownership</w:t>
            </w:r>
          </w:p>
        </w:tc>
        <w:tc>
          <w:tcPr>
            <w:tcW w:w="4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19050</wp:posOffset>
            </wp:positionV>
            <wp:extent cx="7037705" cy="3086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37705" cy="308610"/>
                    </a:xfrm>
                    <a:prstGeom prst="rect">
                      <a:avLst/>
                    </a:prstGeom>
                    <a:noFill/>
                  </pic:spPr>
                </pic:pic>
              </a:graphicData>
            </a:graphic>
          </wp:anchor>
        </w:drawing>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color w:val="auto"/>
        </w:rPr>
        <w:t>—  Foreign currency translation and other</w:t>
      </w:r>
    </w:p>
    <w:tbl>
      <w:tblPr>
        <w:tblLayout w:type="fixed"/>
        <w:tblInd w:w="80" w:type="dxa"/>
        <w:tblCellMar>
          <w:top w:w="0" w:type="dxa"/>
          <w:left w:w="0" w:type="dxa"/>
          <w:bottom w:w="0" w:type="dxa"/>
          <w:right w:w="0" w:type="dxa"/>
        </w:tblCellMar>
      </w:tblPr>
      <w:tr>
        <w:trPr>
          <w:trHeight w:val="148"/>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gridSpan w:val="2"/>
          </w:tcPr>
          <w:p>
            <w:pPr>
              <w:ind w:left="180"/>
              <w:spacing w:after="0" w:line="147" w:lineRule="exact"/>
              <w:rPr>
                <w:sz w:val="20"/>
                <w:szCs w:val="20"/>
                <w:color w:val="auto"/>
              </w:rPr>
            </w:pPr>
            <w:r>
              <w:rPr>
                <w:rFonts w:ascii="Times New Roman" w:cs="Times New Roman" w:eastAsia="Times New Roman" w:hAnsi="Times New Roman"/>
                <w:sz w:val="13"/>
                <w:szCs w:val="13"/>
                <w:color w:val="auto"/>
              </w:rPr>
              <w:t>comprehensive income (loss) of</w:t>
            </w:r>
          </w:p>
        </w:tc>
        <w:tc>
          <w:tcPr>
            <w:tcW w:w="48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unconsolidated affiliates</w:t>
            </w:r>
          </w:p>
        </w:tc>
        <w:tc>
          <w:tcPr>
            <w:tcW w:w="4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Amounts reclassified from Other</w:t>
            </w:r>
          </w:p>
        </w:tc>
        <w:tc>
          <w:tcPr>
            <w:tcW w:w="480" w:type="dxa"/>
            <w:vAlign w:val="bottom"/>
          </w:tcPr>
          <w:p>
            <w:pPr>
              <w:spacing w:after="0"/>
              <w:rPr>
                <w:sz w:val="15"/>
                <w:szCs w:val="15"/>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1040" w:type="dxa"/>
            <w:vAlign w:val="bottom"/>
            <w:gridSpan w:val="2"/>
            <w:vMerge w:val="continue"/>
          </w:tcPr>
          <w:p>
            <w:pPr>
              <w:spacing w:after="0"/>
              <w:rPr>
                <w:sz w:val="14"/>
                <w:szCs w:val="14"/>
                <w:color w:val="auto"/>
              </w:rPr>
            </w:pPr>
          </w:p>
        </w:tc>
        <w:tc>
          <w:tcPr>
            <w:tcW w:w="26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Comprehensive Income</w:t>
            </w:r>
          </w:p>
        </w:tc>
        <w:tc>
          <w:tcPr>
            <w:tcW w:w="4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FF0FC"/>
          </w:tcPr>
          <w:p>
            <w:pPr>
              <w:spacing w:after="0"/>
              <w:rPr>
                <w:sz w:val="14"/>
                <w:szCs w:val="14"/>
                <w:color w:val="auto"/>
              </w:rPr>
            </w:pPr>
          </w:p>
        </w:tc>
        <w:tc>
          <w:tcPr>
            <w:tcW w:w="2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Units issued to Host Inc. for the comprehensive</w:t>
            </w:r>
          </w:p>
        </w:tc>
        <w:tc>
          <w:tcPr>
            <w:tcW w:w="480" w:type="dxa"/>
            <w:vAlign w:val="bottom"/>
            <w:shd w:val="clear" w:color="auto" w:fill="CFF0FC"/>
          </w:tcPr>
          <w:p>
            <w:pPr>
              <w:spacing w:after="0"/>
              <w:rPr>
                <w:sz w:val="14"/>
                <w:szCs w:val="14"/>
                <w:color w:val="auto"/>
              </w:rPr>
            </w:pPr>
          </w:p>
        </w:tc>
        <w:tc>
          <w:tcPr>
            <w:tcW w:w="7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spacing w:after="0"/>
              <w:rPr>
                <w:sz w:val="14"/>
                <w:szCs w:val="14"/>
                <w:color w:val="auto"/>
              </w:rPr>
            </w:pPr>
          </w:p>
        </w:tc>
        <w:tc>
          <w:tcPr>
            <w:tcW w:w="7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4"/>
                <w:szCs w:val="14"/>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stock and employee stock purchase plans</w:t>
            </w:r>
          </w:p>
        </w:tc>
        <w:tc>
          <w:tcPr>
            <w:tcW w:w="480" w:type="dxa"/>
            <w:vAlign w:val="bottom"/>
            <w:shd w:val="clear" w:color="auto" w:fill="CFF0FC"/>
          </w:tcPr>
          <w:p>
            <w:pPr>
              <w:spacing w:after="0"/>
              <w:rPr>
                <w:sz w:val="15"/>
                <w:szCs w:val="15"/>
                <w:color w:val="auto"/>
              </w:rPr>
            </w:pPr>
          </w:p>
        </w:tc>
        <w:tc>
          <w:tcPr>
            <w:tcW w:w="700" w:type="dxa"/>
            <w:vAlign w:val="bottom"/>
            <w:gridSpan w:val="2"/>
            <w:vMerge w:val="continue"/>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00" w:type="dxa"/>
            <w:vAlign w:val="bottom"/>
            <w:gridSpan w:val="2"/>
            <w:vMerge w:val="continue"/>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780" w:type="dxa"/>
            <w:vAlign w:val="bottom"/>
            <w:gridSpan w:val="2"/>
            <w:vMerge w:val="continue"/>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Common OP units issuances</w:t>
            </w:r>
          </w:p>
        </w:tc>
        <w:tc>
          <w:tcPr>
            <w:tcW w:w="4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29"/>
        </w:trPr>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Distributions on common OP units</w:t>
            </w:r>
          </w:p>
        </w:tc>
        <w:tc>
          <w:tcPr>
            <w:tcW w:w="48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8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10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7"/>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spacing w:after="0"/>
              <w:rPr>
                <w:sz w:val="13"/>
                <w:szCs w:val="13"/>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Redemptions of limited partner interests for</w:t>
            </w:r>
          </w:p>
        </w:tc>
        <w:tc>
          <w:tcPr>
            <w:tcW w:w="480" w:type="dxa"/>
            <w:vAlign w:val="bottom"/>
          </w:tcPr>
          <w:p>
            <w:pPr>
              <w:spacing w:after="0"/>
              <w:rPr>
                <w:sz w:val="13"/>
                <w:szCs w:val="13"/>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68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common stock</w:t>
            </w:r>
          </w:p>
        </w:tc>
        <w:tc>
          <w:tcPr>
            <w:tcW w:w="4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48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Pr>
          <w:p>
            <w:pPr>
              <w:spacing w:after="0"/>
              <w:rPr>
                <w:sz w:val="15"/>
                <w:szCs w:val="15"/>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Repurchase of common OP units</w:t>
            </w:r>
          </w:p>
        </w:tc>
        <w:tc>
          <w:tcPr>
            <w:tcW w:w="4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673.3</w:t>
            </w:r>
          </w:p>
        </w:tc>
        <w:tc>
          <w:tcPr>
            <w:tcW w:w="80" w:type="dxa"/>
            <w:vAlign w:val="bottom"/>
            <w:tcBorders>
              <w:bottom w:val="single" w:sz="8" w:color="CFF0FC"/>
            </w:tcBorders>
            <w:shd w:val="clear" w:color="auto" w:fill="CFF0FC"/>
          </w:tcPr>
          <w:p>
            <w:pPr>
              <w:spacing w:after="0"/>
              <w:rPr>
                <w:sz w:val="18"/>
                <w:szCs w:val="18"/>
                <w:color w:val="auto"/>
              </w:rPr>
            </w:pPr>
          </w:p>
        </w:tc>
        <w:tc>
          <w:tcPr>
            <w:tcW w:w="26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December 31, 2025</w:t>
            </w:r>
          </w:p>
        </w:tc>
        <w:tc>
          <w:tcPr>
            <w:tcW w:w="480" w:type="dxa"/>
            <w:vAlign w:val="bottom"/>
            <w:tcBorders>
              <w:bottom w:val="single" w:sz="8" w:color="CFF0FC"/>
            </w:tcBorders>
            <w:shd w:val="clear" w:color="auto" w:fill="CFF0FC"/>
          </w:tcPr>
          <w:p>
            <w:pPr>
              <w:jc w:val="right"/>
              <w:ind w:right="33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6,625</w:t>
            </w:r>
          </w:p>
        </w:tc>
        <w:tc>
          <w:tcPr>
            <w:tcW w:w="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ind w:right="42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ind w:right="32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6,561</w:t>
            </w: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jc w:val="right"/>
              <w:ind w:right="3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rPr>
                <w:sz w:val="1"/>
                <w:szCs w:val="1"/>
                <w:color w:val="auto"/>
              </w:rPr>
            </w:pPr>
          </w:p>
        </w:tc>
      </w:tr>
      <w:tr>
        <w:trPr>
          <w:trHeight w:val="20"/>
        </w:trPr>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6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2"/>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9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CFF0FC"/>
            </w:tcBorders>
            <w:shd w:val="clear" w:color="auto" w:fill="CFF0FC"/>
          </w:tcPr>
          <w:p>
            <w:pPr>
              <w:spacing w:after="0"/>
              <w:rPr>
                <w:sz w:val="15"/>
                <w:szCs w:val="15"/>
                <w:color w:val="auto"/>
              </w:rPr>
            </w:pP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Pr>
          <w:p>
            <w:pPr>
              <w:jc w:val="right"/>
              <w:ind w:right="742"/>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r>
      <w:tr>
        <w:trPr>
          <w:trHeight w:val="23"/>
        </w:trPr>
        <w:tc>
          <w:tcPr>
            <w:tcW w:w="6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9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r>
      <w:tr>
        <w:trPr>
          <w:trHeight w:val="23"/>
        </w:trPr>
        <w:tc>
          <w:tcPr>
            <w:tcW w:w="6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Amortization of finance costs, discounts and premiums, net</w:t>
            </w:r>
          </w:p>
        </w:tc>
        <w:tc>
          <w:tcPr>
            <w:tcW w:w="9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92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3"/>
        </w:trPr>
        <w:tc>
          <w:tcPr>
            <w:tcW w:w="6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Non-cash stock-based compensation expense</w:t>
            </w:r>
          </w:p>
        </w:tc>
        <w:tc>
          <w:tcPr>
            <w:tcW w:w="9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3"/>
        </w:trPr>
        <w:tc>
          <w:tcPr>
            <w:tcW w:w="6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gains</w:t>
            </w:r>
          </w:p>
        </w:tc>
        <w:tc>
          <w:tcPr>
            <w:tcW w:w="9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property insurance settlement</w:t>
            </w:r>
          </w:p>
        </w:tc>
        <w:tc>
          <w:tcPr>
            <w:tcW w:w="92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3"/>
        </w:trPr>
        <w:tc>
          <w:tcPr>
            <w:tcW w:w="6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in earnings of affiliates</w:t>
            </w:r>
          </w:p>
        </w:tc>
        <w:tc>
          <w:tcPr>
            <w:tcW w:w="9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due from/to managers</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3"/>
        </w:trPr>
        <w:tc>
          <w:tcPr>
            <w:tcW w:w="6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Distributions from investments in affiliates</w:t>
            </w:r>
          </w:p>
        </w:tc>
        <w:tc>
          <w:tcPr>
            <w:tcW w:w="9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insurance proceeds - remediation costs</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23"/>
        </w:trPr>
        <w:tc>
          <w:tcPr>
            <w:tcW w:w="6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Payments for inventory costs</w:t>
            </w:r>
          </w:p>
        </w:tc>
        <w:tc>
          <w:tcPr>
            <w:tcW w:w="9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 in inventory for units sold</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Changes in other assets</w:t>
            </w:r>
          </w:p>
        </w:tc>
        <w:tc>
          <w:tcPr>
            <w:tcW w:w="9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other liabilities</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23"/>
        </w:trPr>
        <w:tc>
          <w:tcPr>
            <w:tcW w:w="69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1,441</w:t>
            </w:r>
          </w:p>
        </w:tc>
      </w:tr>
      <w:tr>
        <w:trPr>
          <w:trHeight w:val="88"/>
        </w:trPr>
        <w:tc>
          <w:tcPr>
            <w:tcW w:w="696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r>
      <w:tr>
        <w:trPr>
          <w:trHeight w:val="196"/>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9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sales of assets, net</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3"/>
        </w:trPr>
        <w:tc>
          <w:tcPr>
            <w:tcW w:w="6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(issuance of) loan receivable</w:t>
            </w:r>
          </w:p>
        </w:tc>
        <w:tc>
          <w:tcPr>
            <w:tcW w:w="9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w:t>
            </w: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of investments in affiliates</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3"/>
        </w:trPr>
        <w:tc>
          <w:tcPr>
            <w:tcW w:w="6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Advances to and investments in affiliates</w:t>
            </w:r>
          </w:p>
        </w:tc>
        <w:tc>
          <w:tcPr>
            <w:tcW w:w="9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Acquisitions</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9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r>
      <w:tr>
        <w:trPr>
          <w:trHeight w:val="193"/>
        </w:trPr>
        <w:tc>
          <w:tcPr>
            <w:tcW w:w="6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Renewals and replacements</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r>
      <w:tr>
        <w:trPr>
          <w:trHeight w:val="23"/>
        </w:trPr>
        <w:tc>
          <w:tcPr>
            <w:tcW w:w="6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Return on investment</w:t>
            </w:r>
          </w:p>
        </w:tc>
        <w:tc>
          <w:tcPr>
            <w:tcW w:w="9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insurance proceeds</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3"/>
        </w:trPr>
        <w:tc>
          <w:tcPr>
            <w:tcW w:w="69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w:t>
            </w:r>
          </w:p>
        </w:tc>
      </w:tr>
      <w:tr>
        <w:trPr>
          <w:trHeight w:val="88"/>
        </w:trPr>
        <w:tc>
          <w:tcPr>
            <w:tcW w:w="696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r>
      <w:tr>
        <w:trPr>
          <w:trHeight w:val="196"/>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9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costs</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3"/>
        </w:trPr>
        <w:tc>
          <w:tcPr>
            <w:tcW w:w="6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Issuances of debt</w:t>
            </w:r>
          </w:p>
        </w:tc>
        <w:tc>
          <w:tcPr>
            <w:tcW w:w="9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Draws on credit facility</w:t>
            </w:r>
          </w:p>
        </w:tc>
        <w:tc>
          <w:tcPr>
            <w:tcW w:w="92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Repayment of credit facility</w:t>
            </w:r>
          </w:p>
        </w:tc>
        <w:tc>
          <w:tcPr>
            <w:tcW w:w="9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Repurchase/redemption of senior notes</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6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Mortgage debt and other prepayments and scheduled maturities</w:t>
            </w:r>
          </w:p>
        </w:tc>
        <w:tc>
          <w:tcPr>
            <w:tcW w:w="9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extinguishment costs</w:t>
            </w:r>
          </w:p>
        </w:tc>
        <w:tc>
          <w:tcPr>
            <w:tcW w:w="92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3"/>
        </w:trPr>
        <w:tc>
          <w:tcPr>
            <w:tcW w:w="6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Repurchase of common OP units</w:t>
            </w:r>
          </w:p>
        </w:tc>
        <w:tc>
          <w:tcPr>
            <w:tcW w:w="9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w:t>
            </w: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on common OP units</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r>
      <w:tr>
        <w:trPr>
          <w:trHeight w:val="23"/>
        </w:trPr>
        <w:tc>
          <w:tcPr>
            <w:tcW w:w="6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Distributions and payments to non-controlling interests</w:t>
            </w:r>
          </w:p>
        </w:tc>
        <w:tc>
          <w:tcPr>
            <w:tcW w:w="9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3"/>
        </w:trPr>
        <w:tc>
          <w:tcPr>
            <w:tcW w:w="69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(771)</w:t>
            </w:r>
          </w:p>
        </w:tc>
      </w:tr>
      <w:tr>
        <w:trPr>
          <w:trHeight w:val="186"/>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Effects of exchange rate changes on cash held</w:t>
            </w:r>
          </w:p>
        </w:tc>
        <w:tc>
          <w:tcPr>
            <w:tcW w:w="9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4"/>
        </w:trPr>
        <w:tc>
          <w:tcPr>
            <w:tcW w:w="69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 AND RESTRICTED CASH</w:t>
            </w:r>
          </w:p>
        </w:tc>
        <w:tc>
          <w:tcPr>
            <w:tcW w:w="9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489</w:t>
            </w: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BEGINNING OF PERIOD</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r>
      <w:tr>
        <w:trPr>
          <w:trHeight w:val="24"/>
        </w:trPr>
        <w:tc>
          <w:tcPr>
            <w:tcW w:w="69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5"/>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END OF PERIOD</w:t>
            </w:r>
          </w:p>
        </w:tc>
        <w:tc>
          <w:tcPr>
            <w:tcW w:w="920" w:type="dxa"/>
            <w:vAlign w:val="bottom"/>
            <w:tcBorders>
              <w:bottom w:val="single" w:sz="8" w:color="auto"/>
            </w:tcBorders>
            <w:shd w:val="clear" w:color="auto" w:fill="CFF0FC"/>
          </w:tcPr>
          <w:p>
            <w:pPr>
              <w:jc w:val="right"/>
              <w:ind w:right="742"/>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1,363</w:t>
            </w:r>
          </w:p>
        </w:tc>
      </w:tr>
      <w:tr>
        <w:trPr>
          <w:trHeight w:val="20"/>
        </w:trPr>
        <w:tc>
          <w:tcPr>
            <w:tcW w:w="69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 (in millions):</w:t>
      </w:r>
    </w:p>
    <w:p>
      <w:pPr>
        <w:spacing w:after="0" w:line="18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on the balance sheet to the amount shown on the statements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6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5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included in furniture, fixtures and equipment replacement fund</w:t>
            </w:r>
          </w:p>
        </w:tc>
        <w:tc>
          <w:tcPr>
            <w:tcW w:w="94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5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 and restricted cash shown in the statements of cash flows</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22"/>
                <w:szCs w:val="22"/>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1"/>
        </w:trPr>
        <w:tc>
          <w:tcPr>
            <w:tcW w:w="6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p>
      <w:pPr>
        <w:spacing w:after="0" w:line="18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During 2025, 2024, and 2023, non-controlling partners converted common operating partnership units (“OP units”) valued at $12 million, $6 million and $8 million, respectively, in exchange for 0.8 million, 0.3 million and 0.5 million shares, respectively, of Host Inc. common stock.</w:t>
      </w:r>
    </w:p>
    <w:p>
      <w:pPr>
        <w:spacing w:after="0" w:line="121"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sales of Washington Marriott at Metro Center in August 2025 and The Camby, Autograph Collection in March 2023, we issued loans to the buyers for $114 million and $72 million, respectively. The proceeds received from the sales are net of the loans.</w:t>
      </w:r>
    </w:p>
    <w:p>
      <w:pPr>
        <w:spacing w:after="0" w:line="13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2025, we paid a contingent consideration to Noble Investment Group, LLC based on certain thresholds being met under the definitive agreements with Noble Investment Group, LLC, agreed to with our initial investment in 2022. The payment consisted of $8 million in cash and issuance by Host L.P. of approximately 1.0 million OP units valued at approximately $18 million.</w:t>
      </w:r>
    </w:p>
    <w:p>
      <w:pPr>
        <w:spacing w:after="0" w:line="13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In 2024, non-cash consideration for the acquisition of The Ritz-Carlton O'ahu, Turtle Bay included the assumption of hotel level liabilities of approximately $15 million, consisting primarily of obligations to provide future services due to advance deposits.</w:t>
      </w:r>
    </w:p>
    <w:p>
      <w:pPr>
        <w:spacing w:after="0" w:line="121" w:lineRule="exact"/>
        <w:rPr>
          <w:sz w:val="20"/>
          <w:szCs w:val="20"/>
          <w:color w:val="auto"/>
        </w:rPr>
      </w:pPr>
    </w:p>
    <w:p>
      <w:pPr>
        <w:ind w:right="140" w:firstLine="648"/>
        <w:spacing w:after="0" w:line="229" w:lineRule="auto"/>
        <w:rPr>
          <w:sz w:val="20"/>
          <w:szCs w:val="20"/>
          <w:color w:val="auto"/>
        </w:rPr>
      </w:pPr>
      <w:r>
        <w:rPr>
          <w:rFonts w:ascii="Times New Roman" w:cs="Times New Roman" w:eastAsia="Times New Roman" w:hAnsi="Times New Roman"/>
          <w:sz w:val="18"/>
          <w:szCs w:val="18"/>
          <w:color w:val="auto"/>
        </w:rPr>
        <w:t>During 2023, the intent for a land parcel adjacent to the Four Seasons Resort Orlando at Walt Disney World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Resort changed from "held for use" to "used for the development of inventory". As a result, we have reclassified $30 million from property and equipment to other assets.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540" w:firstLine="8"/>
        <w:spacing w:after="0" w:line="378" w:lineRule="auto"/>
        <w:tabs>
          <w:tab w:leader="none" w:pos="315"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Description of Business</w:t>
      </w: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Host Hotels &amp; Resorts, Inc. operates as a self-managed and self-administered real estate investment trust, or REIT, with its operations conducted solely through Host Hotels &amp; Resorts, L.P. Host Hotels &amp; Resorts, L.P., a Delaware limited partnership, operates through an umbrella partnership structure, with Host Hotels &amp; Resorts, Inc., a Maryland corporation, as its sole general partner. In the notes to the consolidated financial statements, we use the terms “we” or “our” to refer to Host Hotels &amp; Resorts, Inc. and Host Hotels &amp; Resorts, L.P. together, unless the context indicates otherwise. We also use the term “Host Inc.” to refer specifically to Host Hotels &amp; Resorts, Inc. and the term “Host L.P.” to refer specifically to Host Hotels &amp; Resorts, L.P. in cases where it is important to distinguish between Host Inc. and Host L.P. Host Inc. holds approximately 99% of Host L.P.’s partnership interests, or OP units.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Portfolio</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 hotels in our consolidated portfolio are in the following countries:</w:t>
      </w:r>
    </w:p>
    <w:p>
      <w:pPr>
        <w:spacing w:after="0" w:line="165" w:lineRule="exact"/>
        <w:rPr>
          <w:sz w:val="20"/>
          <w:szCs w:val="20"/>
          <w:color w:val="auto"/>
        </w:rPr>
      </w:pPr>
    </w:p>
    <w:tbl>
      <w:tblPr>
        <w:tblLayout w:type="fixed"/>
        <w:tblInd w:w="160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13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Hotels</w:t>
            </w:r>
          </w:p>
        </w:tc>
      </w:tr>
      <w:tr>
        <w:trPr>
          <w:trHeight w:val="23"/>
        </w:trPr>
        <w:tc>
          <w:tcPr>
            <w:tcW w:w="668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5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7"/>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
        </w:trPr>
        <w:tc>
          <w:tcPr>
            <w:tcW w:w="66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consolidated accounts of Host Inc., Host L.P. and their subsidiaries and controlled affiliates, including joint ventures and partnerships. We consolidate subsidiaries when we have the ability to control them. For the majority of our hotel and real estate investments, we consider those control rights to be (i) approval or amendment of developments plans, (ii) financing decisions, (iii) approval or amendments of operating budgets, and (iv) investment strategy decisions.</w:t>
      </w:r>
    </w:p>
    <w:p>
      <w:pPr>
        <w:spacing w:after="0" w:line="18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also evaluate our subsidiaries to determine if they are variable interest entities (“VIEs”). If a subsidiary is a VIE, it is subject to the consolidation framework specifically for VIEs. Typically, the entity that has the power to direct the activities that most significantly impact economic performance consolidates the VIE. We consider an entity to be a VIE if equity investors own an interest therein that does not have the characteristics of a controlling financial interest or if such investors do not have sufficient equity at risk for the entity to finance its activities without additional subordinated financial support. We review our subsidiaries and affiliates at least annually to determine (i) if they should be considered VIEs, and (ii) whether we should change our consolidation determination based on changes in the characteristics thereof.</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Five partnerships in which we invest are considered VIE’s, as the general partner of these partnerships maintains control over the decisions that most significantly impact the partnerships. The first VIE is the operating partnership, Host L.P., which is consolidated by Host Inc., of which Host Inc. is the general partner and holds 99% of the limited partner interests. Host Inc.’s sole significant asset is its investment in Host L.P. and substantially all of Host Inc.’s assets and liabilities represent assets and liabilities of Host L.P. All of Host Inc.’s debt is an obligation of Host L.P. and may be settled only with assets of Host L.P. The consolidated partnership that owns the Houston Airport Marriott at George Bush Intercontinental, of which we are the general partner and hold 85% of the partnership interests, also is a VIE. The total assets of this VIE at December 31, 2025 are $47 million and consist primarily of cash, a right-of-use (“ROU”) asset and property and equipment. Liabilities for the VIE total $26 million and primarily consist of a lease liability and accounts payable.</w:t>
      </w:r>
    </w:p>
    <w:p>
      <w:pPr>
        <w:spacing w:after="0" w:line="19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Three unconsolidated partnerships that own hotel properties, of which we hold limited partner interests ranging from 11% - 30%, are also VIEs. The combined carrying amount of our investments in these entities at December 31, 2025 is $164 million and is included in advances to and investments in affiliates. The mortgage debt held by these VIEs is non-recourse to us. See Note 4 - Investments in Affiliates for further information.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or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these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consider all highly liquid investments with a maturity of three months or less at the date of purchase to be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Generally, property and equipment is recorded at cost. For hotels that we develop, cost includes interest, property insurance and real estate taxes incurred during construction. For property and equipment acquired in a business combination, we record the assets acquired based on their fair value as of the acquisition date. Replacements and improvements and finance leases are capitalized, while repairs and maintenance are expensed as incurred.</w:t>
      </w:r>
    </w:p>
    <w:p>
      <w:pPr>
        <w:spacing w:after="0" w:line="6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Properties acquired in an asset acquisition are recorded at cost. The acquisition cost is allocated to land, buildings, improvements, furniture, fixtures and equipment, as well as identifiable intangible and lease assets and liabilities. Acquisition cost is allocated using relative fair values. We evaluate several factors, including weighted market data for similar assets, expected future cash flows discounted at risk adjusted rates, and replacement costs for assets to determine an appropriate exit cost when evaluating the fair values.</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capitalize certain inventory (such as china, glass, silver, and linen) at the time of a hotel opening or acquisition, or when significant inventory is purchased (in conjunction with a major rooms renovation or when the number of rooms or meeting space at a hotel is expanded). These amounts then are amortized over the estimated useful life of three years. Subsequent replacement purchases are expensed when placed in service.</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maintain a furniture, fixtures and equipment replacement fund for renewal and replacement capital expenditures at our hotels, which generally is funded with 5% of property revenues.</w:t>
      </w:r>
    </w:p>
    <w:p>
      <w:pPr>
        <w:spacing w:after="0" w:line="173" w:lineRule="exact"/>
        <w:rPr>
          <w:sz w:val="20"/>
          <w:szCs w:val="20"/>
          <w:color w:val="auto"/>
        </w:rPr>
      </w:pPr>
    </w:p>
    <w:p>
      <w:pPr>
        <w:ind w:right="140" w:firstLine="648"/>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Impairment testing. </w:t>
      </w:r>
      <w:r>
        <w:rPr>
          <w:rFonts w:ascii="Times New Roman" w:cs="Times New Roman" w:eastAsia="Times New Roman" w:hAnsi="Times New Roman"/>
          <w:sz w:val="18"/>
          <w:szCs w:val="18"/>
          <w:color w:val="auto"/>
        </w:rPr>
        <w:t>We analyze our consolidated hotels for impairment throughout the year when events or circumstances occur that indicate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amount may not be recoverable. We test for impairment in several situations, including:</w:t>
      </w:r>
    </w:p>
    <w:p>
      <w:pPr>
        <w:spacing w:after="0" w:line="38"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hotel has a current or projected loss from operations;</w:t>
      </w:r>
    </w:p>
    <w:p>
      <w:pPr>
        <w:spacing w:after="0" w:line="117"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2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management’s intent or ability to hold a property for a period that recovers its carrying value changes, making it more likely than not that a hotel will be sold before the end of its previously estimated useful life and therefore reducing the expected hold period, and the anticipated sales price is at or below the book value; or</w:t>
      </w:r>
    </w:p>
    <w:p>
      <w:pPr>
        <w:spacing w:after="0" w:line="67"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other events, trends, contingencies or changes in circumstances indicate that a triggering event has occurred and the carrying amount of an asset may not be recoverable.</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To the extent that a hotel has a substantial remaining estimated useful life and management does not believe that it is more likely than not that it will be sold prior to the end thereof, it would be unusual for undiscounted cash flows to be insufficient to recover the property’s carrying amount. In the absence of other factors, we assume that the estimated useful life is equal to the remaining GAAP depreciable life because of the continuous property maintenance and improvement capital expenditures required under our management agreements. We adjust our assumptions with respect to the remaining useful life of the property if situations dictate otherwise, such as an expiring ground lease, or that it is more likely than not that the asset will be sold prior to the end of its previously expected useful life. We also consider the effect of regular renewal and replacement capital expenditures on the estimated useful life of our properties, including critical infrastructure, which regularly is maintained and then replaced at the end of its useful life.</w:t>
      </w:r>
    </w:p>
    <w:p>
      <w:pPr>
        <w:spacing w:after="0" w:line="18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 2025, 2024 and 2023, we identified one property that required further consideration of property and market specific conditions or factors to determine if the property was impaired using an undiscounted cash flow analysis. Based on this testing, the property was not considered impaired.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In 2025, we identified one other property that required further consideration as a result of the reduction in the expected hold period during the year. Based on this testing, we recognized impairment expense of $8 million related to certain property and equipment in 2025.</w:t>
      </w:r>
    </w:p>
    <w:p>
      <w:pPr>
        <w:spacing w:after="0" w:line="16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Classification of Assets as Held for Sale. </w:t>
      </w:r>
      <w:r>
        <w:rPr>
          <w:rFonts w:ascii="Times New Roman" w:cs="Times New Roman" w:eastAsia="Times New Roman" w:hAnsi="Times New Roman"/>
          <w:sz w:val="18"/>
          <w:szCs w:val="18"/>
          <w:color w:val="auto"/>
        </w:rPr>
        <w:t>We will classify a hotel as held for sale when its sale is probable, will be completed within one year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to complete the sale are unlikely to change or it is unlikely that the sale will not occur. This policy is consistent with our experience with real estate transactions under which the timing and final terms of a sale frequently are not known until purchase agreements are executed, the buyer has a significant deposit at risk and no financing contingencies exist that could prevent the transaction from being completed in a timely manner. We typically classify hotels as held for sale when all the following conditions are met:</w:t>
      </w:r>
    </w:p>
    <w:p>
      <w:pPr>
        <w:spacing w:after="0" w:line="77" w:lineRule="exact"/>
        <w:rPr>
          <w:sz w:val="20"/>
          <w:szCs w:val="20"/>
          <w:color w:val="auto"/>
        </w:rPr>
      </w:pPr>
    </w:p>
    <w:p>
      <w:pPr>
        <w:ind w:left="1940" w:hanging="636"/>
        <w:spacing w:after="0"/>
        <w:tabs>
          <w:tab w:leader="none" w:pos="19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 Inc.’s Board of Directors has approved the sale (to the extent that the dollar amount of the sale requires Board approval);</w:t>
      </w:r>
    </w:p>
    <w:p>
      <w:pPr>
        <w:spacing w:after="0" w:line="117" w:lineRule="exact"/>
        <w:rPr>
          <w:rFonts w:ascii="Times New Roman" w:cs="Times New Roman" w:eastAsia="Times New Roman" w:hAnsi="Times New Roman"/>
          <w:sz w:val="18"/>
          <w:szCs w:val="18"/>
          <w:color w:val="auto"/>
        </w:rPr>
      </w:pPr>
    </w:p>
    <w:p>
      <w:pPr>
        <w:ind w:left="1960" w:right="860" w:hanging="656"/>
        <w:spacing w:after="0" w:line="282" w:lineRule="auto"/>
        <w:tabs>
          <w:tab w:leader="none" w:pos="19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binding agreement to sell the property has been signed under which the buyer has deposited a significant amount of nonrefundable cash; and</w:t>
      </w:r>
    </w:p>
    <w:p>
      <w:pPr>
        <w:spacing w:after="0" w:line="53"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significant financing or legal contingencies exist that could prevent the transaction from being completed in a timely manner.</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If these criteria are met, we will cease recording depreciation expense and will record an impairment expense if the fair value less costs to sell is less than the carrying amount of the hotel. We will classify the assets and related liabilities as held for sale on the balance sheet. Gains on sales of properties are recognized at the time of sale or are deferred and recognized as income in subsequent periods as conditions requiring deferral are satisfied or expire without further cost to us.</w:t>
      </w:r>
    </w:p>
    <w:p>
      <w:pPr>
        <w:spacing w:after="0" w:line="178" w:lineRule="exact"/>
        <w:rPr>
          <w:sz w:val="20"/>
          <w:szCs w:val="20"/>
          <w:color w:val="auto"/>
        </w:rPr>
      </w:pPr>
    </w:p>
    <w:p>
      <w:pPr>
        <w:ind w:right="6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Discontinued Operations. </w:t>
      </w:r>
      <w:r>
        <w:rPr>
          <w:rFonts w:ascii="Times New Roman" w:cs="Times New Roman" w:eastAsia="Times New Roman" w:hAnsi="Times New Roman"/>
          <w:sz w:val="18"/>
          <w:szCs w:val="18"/>
          <w:color w:val="auto"/>
        </w:rPr>
        <w:t>We generally include the operations of a hotel that was sold or a hotel that has been classified as held for sale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continuing operations, including the gain or loss on the sale, unless the sale represents a strategic shift that will have a major impact on our future operations and financial results.</w:t>
      </w:r>
    </w:p>
    <w:p>
      <w:pPr>
        <w:spacing w:after="0" w:line="173"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Asset retirement obligations. </w:t>
      </w:r>
      <w:r>
        <w:rPr>
          <w:rFonts w:ascii="Times New Roman" w:cs="Times New Roman" w:eastAsia="Times New Roman" w:hAnsi="Times New Roman"/>
          <w:sz w:val="18"/>
          <w:szCs w:val="18"/>
          <w:color w:val="auto"/>
        </w:rPr>
        <w:t>We recognize the fair value of any liability for conditional asset retirement obligations, including environmental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remediation liabilities, when incurred, which generally is upon acquisition, construction, or development and/or through the normal operation of the asset, if information exists with which to reasonably estimate the fair value of the obligation.</w:t>
      </w:r>
    </w:p>
    <w:p>
      <w:pPr>
        <w:spacing w:after="0" w:line="17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Expense. </w:t>
      </w:r>
      <w:r>
        <w:rPr>
          <w:rFonts w:ascii="Times New Roman" w:cs="Times New Roman" w:eastAsia="Times New Roman" w:hAnsi="Times New Roman"/>
          <w:sz w:val="18"/>
          <w:szCs w:val="18"/>
          <w:color w:val="auto"/>
        </w:rPr>
        <w:t>We depreciate our property and equipment using the straight-line method. Depreciation expense is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estimated useful life of our assets and amortization expense for leasehold improvements is based on the shorter of the lease term or the estimated useful life of the related assets. The useful lives of the assets are based on several assumptions, including cost and timing of capital expenditures to maintain and refurbish the assets, as well as specific market and economic conditions. While management believes its estimates are reasonable, a change in the estimated useful lives could affect depreciation expense and net income or the gain or loss on the sale of any of our hotels.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Host Inc.’s treatment of the non-controlling interests of Host L.P. </w:t>
      </w:r>
      <w:r>
        <w:rPr>
          <w:rFonts w:ascii="Times New Roman" w:cs="Times New Roman" w:eastAsia="Times New Roman" w:hAnsi="Times New Roman"/>
          <w:sz w:val="18"/>
          <w:szCs w:val="18"/>
          <w:color w:val="auto"/>
        </w:rPr>
        <w:t>Host Inc. adjusts the non-controlling interests of Host L.P. each period so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amount presented equals the greater of its carrying amount based on its historical cost or its redemption value. The historical cost is based on the proportional relationship between the historical cost of equity held by our common stockholders relative to that of the unitholders of Host L.P. The redemption value is based on the amount of cash or Host Inc. common stock, at our option, that would be paid to the non-controlling interests of Host L.P. if it were terminated. We have estimated that the redemption value is equivalent to the number of shares issuable upon conversion of the OP units currently owned by unaffiliated limited partners (one OP unit may be exchanged for 1.021494 shares of Host Inc. common stock) valued at the market price of Host Inc. common stock at the balance sheet date. Redeemable non-controlling interests of Host L.P. are classified in the mezzanine section of the balance sheet as they do not meet the requirements for equity classification because the redemption feature requires the delivery of registered shares.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details the historical cost and redemption values for the non-controlling interests of Host L.P.:</w:t>
      </w:r>
    </w:p>
    <w:p>
      <w:pPr>
        <w:spacing w:after="0" w:line="273" w:lineRule="exact"/>
        <w:rPr>
          <w:sz w:val="20"/>
          <w:szCs w:val="20"/>
          <w:color w:val="auto"/>
        </w:rPr>
      </w:pPr>
    </w:p>
    <w:tbl>
      <w:tblPr>
        <w:tblLayout w:type="fixed"/>
        <w:tblInd w:w="124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5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9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OP units outstanding (millions)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5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price per Host Inc. common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r>
      <w:tr>
        <w:trPr>
          <w:trHeight w:val="26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one common OP unit</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1.021494</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1.021494</w:t>
            </w:r>
          </w:p>
        </w:tc>
      </w:tr>
      <w:tr>
        <w:trPr>
          <w:trHeight w:val="25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 value (millions)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6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Historical cost (millions)</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03"/>
        </w:trPr>
        <w:tc>
          <w:tcPr>
            <w:tcW w:w="59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Book value (millions)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bl>
    <w:p>
      <w:pPr>
        <w:spacing w:after="0" w:line="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_____</w:t>
      </w:r>
    </w:p>
    <w:p>
      <w:pPr>
        <w:spacing w:after="0" w:line="17" w:lineRule="exact"/>
        <w:rPr>
          <w:sz w:val="20"/>
          <w:szCs w:val="20"/>
          <w:color w:val="auto"/>
        </w:rPr>
      </w:pPr>
    </w:p>
    <w:p>
      <w:pPr>
        <w:ind w:left="1300" w:hanging="320"/>
        <w:spacing w:after="0"/>
        <w:tabs>
          <w:tab w:leader="none" w:pos="13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book value recorded is equal to the greater of the redemption value or the historical cost.</w:t>
      </w:r>
    </w:p>
    <w:p>
      <w:pPr>
        <w:spacing w:after="0" w:line="21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Net income is allocated to the non-controlling interests of Host L.P. based on their weighted average ownership percentage during the period. Net income attributable to Host Inc. has been reduced by the amount attributable to non-controlling interests in Host L.P., which totaled $10 million, $9 million and $11 million for 2025, 2024 and 2023, respectively.</w:t>
      </w:r>
    </w:p>
    <w:p>
      <w:pPr>
        <w:spacing w:after="0" w:line="64"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Consolidated Partnerships. </w:t>
      </w:r>
      <w:r>
        <w:rPr>
          <w:rFonts w:ascii="Times New Roman" w:cs="Times New Roman" w:eastAsia="Times New Roman" w:hAnsi="Times New Roman"/>
          <w:sz w:val="18"/>
          <w:szCs w:val="18"/>
          <w:color w:val="auto"/>
        </w:rPr>
        <w:t>Non-redeemable non-controlling interests - other consolidated partnerships on the consolidated balance sheets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the third-party partnership interest of one majority-owned partnership.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Affiliates</w:t>
      </w:r>
    </w:p>
    <w:p>
      <w:pPr>
        <w:spacing w:after="0" w:line="11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Distributions from Investments in Affiliates. </w:t>
      </w:r>
      <w:r>
        <w:rPr>
          <w:rFonts w:ascii="Times New Roman" w:cs="Times New Roman" w:eastAsia="Times New Roman" w:hAnsi="Times New Roman"/>
          <w:sz w:val="18"/>
          <w:szCs w:val="18"/>
          <w:color w:val="auto"/>
        </w:rPr>
        <w:t>We classify the distributions from our equity investments in the statements of cash flows based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evaluation of the specific facts and circumstances of each distribution. For example, distributions of cash that were generated by property operations are classified as cash flows from operating activities. However, distributions of cash that were generated by property sales and certain other transactions, such as debt issuances or repayments, are classified as cash flows from investing activities.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Host Inc. elected to be treated as a REIT effective January 1, 1999 pursuant to the U.S. Internal Revenue Code of 1986, as amended. It is our intention to continue to comply with the REIT qualification requirements and to maintain our qualification for treatment as a REIT. A corporation that elects REIT status and meets certain tax law requirements regarding the distribution of its taxable income to its stockholders as prescribed by applicable tax laws and that complies with certain other requirements (relating primarily to the composition of its assets and the sources of its gross income) generally is not subject to federal and state corporate income taxation on its operating income that is distributed to its stockholders. As a partnership for federal income tax purposes, Host L.P. is not subject to federal income tax. Host L.P. is, however, subject to state, local and foreign income and franchise tax in certain jurisdictions. Additionally, each of the Host L.P. taxable REIT subsidiaries is taxable as a C corporation, and is subject to federal, state and foreign corporate income tax. Our consolidated income tax provision (benefit) includes the income tax provision (benefit) related to the operations of our taxable REIT subsidiaries, and state, local, and foreign income taxes incurred by Host L.P. and its subsidiaries.</w:t>
      </w:r>
    </w:p>
    <w:p>
      <w:pPr>
        <w:spacing w:after="0" w:line="18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Deferred Tax Assets and Liabilities. </w:t>
      </w:r>
      <w:r>
        <w:rPr>
          <w:rFonts w:ascii="Times New Roman" w:cs="Times New Roman" w:eastAsia="Times New Roman" w:hAnsi="Times New Roman"/>
          <w:sz w:val="18"/>
          <w:szCs w:val="18"/>
          <w:color w:val="auto"/>
        </w:rPr>
        <w:t>Pursuant to its partnership agreement, Host L.P. generally is required to reimburse Host Inc. for any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it is required to make. Accordingly, the tax information included herein represents disclosures regarding Host Inc. and its subsidiaries. Deferred tax assets and liabilities are recognized for the estimated future tax consequences attributable to differences between the financial statement carrying amounts of existing assets and liabilities and their respective tax bases, and for net operating loss, general business credit, and capital loss carryovers. Deferred tax assets and liabilities are measured using enacted tax rates in effect for the year in which such amounts are expected to be realized or settled. The effect on deferred tax assets and liabilities from a change in tax rates is recognized in earnings in the period when the new rate is enacted. However, deferred tax assets are recognized only to the extent that it is more likely than not that they will be realized based on consideration of available evidence, including future reversals of existing taxable temporary differences, future projected taxable income and tax planning strategies.</w:t>
      </w:r>
    </w:p>
    <w:p>
      <w:pPr>
        <w:spacing w:after="0" w:line="18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GAAP prescribes a recognition threshold and measurement attribute for the financial statement recognition and measurement of a tax position taken in a tax return. We must determine whether it is “more-likely-than-not” that a tax</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position will be sustained upon examination, including resolution of any related appeals or litigation processes, based on the technical merits of the position. Once it is determined that a position meets the more-likely-than-not recognition threshold, the position is measured at the largest amount of benefit that is greater than 50% likely of being realized upon settlement to determine the amount of benefit to recognize in the financial statements. This accounting standard applies to all tax positions related to income taxes. We recognize any accrued interest related to unrecognized tax benefits in interest expense and penalties in operating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Charges</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Financing costs related to long-term debt are deferred and amortized over the remaining life of the debt using the effective interest method. These costs are presented as a direct deduction from the related long-term debt on the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our foreign operations consist of hotels located in Brazil and Canada. The financial statements of these hotels and our investments therein are maintained in their functional currency, which generally is the local currency, and their operations are translated to U.S. dollars using the average exchange rates for the period. The assets and liabilities of the hotels and the investments therein are translated to U.S. dollars using the exchange rate in effect at the balance sheet date. The resulting translation adjustments are reflected in other comprehensive income (loss).</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Foreign currency transactions are recorded in the functional currency for each applicable foreign entity using the exchange rates prevailing at the dates of the transactions. Assets and liabilities denominated in foreign currencies are remeasured at period end exchange rates. The resulting exchange differences are recorded in other gains (losses) on the accompanying consolidated statements of operations, except when recorded in other comprehensive income (loss) as qualifying net investment hedges.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total accumulated other comprehensive loss in the balance sheets are as follows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6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40" w:type="dxa"/>
            <w:vAlign w:val="bottom"/>
          </w:tcPr>
          <w:p>
            <w:pPr>
              <w:spacing w:after="0"/>
              <w:rPr>
                <w:sz w:val="16"/>
                <w:szCs w:val="16"/>
                <w:color w:val="auto"/>
              </w:rPr>
            </w:pPr>
          </w:p>
        </w:tc>
      </w:tr>
      <w:tr>
        <w:trPr>
          <w:trHeight w:val="23"/>
        </w:trPr>
        <w:tc>
          <w:tcPr>
            <w:tcW w:w="84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6"/>
        </w:trPr>
        <w:tc>
          <w:tcPr>
            <w:tcW w:w="8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r>
      <w:tr>
        <w:trPr>
          <w:trHeight w:val="23"/>
        </w:trPr>
        <w:tc>
          <w:tcPr>
            <w:tcW w:w="842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0"/>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foreign currency forward contracts</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interest rate swap cash flow hedges</w:t>
            </w:r>
          </w:p>
        </w:tc>
        <w:tc>
          <w:tcPr>
            <w:tcW w:w="8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50"/>
        </w:trPr>
        <w:tc>
          <w:tcPr>
            <w:tcW w:w="84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attributable to non-controlling interests</w:t>
            </w:r>
          </w:p>
        </w:tc>
        <w:tc>
          <w:tcPr>
            <w:tcW w:w="8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2"/>
        </w:trPr>
        <w:tc>
          <w:tcPr>
            <w:tcW w:w="8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84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During 2025, we reclassified a net loss related to foreign currency translation of $7 million that had been previously recognized in other comprehensive income (loss) due to the sale of the Asia/Pacific joint venture's share in two separate joint ventures in India, representing our exit from our Asia investment. No material amounts were reclassified from accumulated other comprehensive loss in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Substantially all of our operating results represent revenues and expenses generated by property-level operations. Payments are due from customers when services are provided to them. Due to the short-term nature of our contracts and the almost concurrent receipt of payment, we have no material unearned revenues at year end. We collect sales, use, occupancy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and similar taxes at our hotels, which we present on a net basis (excluded from revenues) on our statements of operations. Revenues are recognized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Income statement line item</w:t>
            </w:r>
          </w:p>
        </w:tc>
        <w:tc>
          <w:tcPr>
            <w:tcW w:w="6580" w:type="dxa"/>
            <w:vAlign w:val="bottom"/>
          </w:tcPr>
          <w:p>
            <w:pPr>
              <w:ind w:left="3180"/>
              <w:spacing w:after="0"/>
              <w:rPr>
                <w:sz w:val="20"/>
                <w:szCs w:val="20"/>
                <w:color w:val="auto"/>
              </w:rPr>
            </w:pPr>
            <w:r>
              <w:rPr>
                <w:rFonts w:ascii="Times New Roman" w:cs="Times New Roman" w:eastAsia="Times New Roman" w:hAnsi="Times New Roman"/>
                <w:sz w:val="14"/>
                <w:szCs w:val="14"/>
                <w:b w:val="1"/>
                <w:bCs w:val="1"/>
                <w:color w:val="auto"/>
              </w:rPr>
              <w:t>Recognition method</w:t>
            </w:r>
          </w:p>
        </w:tc>
      </w:tr>
      <w:tr>
        <w:trPr>
          <w:trHeight w:val="23"/>
        </w:trPr>
        <w:tc>
          <w:tcPr>
            <w:tcW w:w="4660" w:type="dxa"/>
            <w:vAlign w:val="bottom"/>
            <w:tcBorders>
              <w:bottom w:val="single" w:sz="8" w:color="auto"/>
            </w:tcBorders>
          </w:tcPr>
          <w:p>
            <w:pPr>
              <w:spacing w:after="0"/>
              <w:rPr>
                <w:sz w:val="2"/>
                <w:szCs w:val="2"/>
                <w:color w:val="auto"/>
              </w:rPr>
            </w:pPr>
          </w:p>
        </w:tc>
        <w:tc>
          <w:tcPr>
            <w:tcW w:w="6580" w:type="dxa"/>
            <w:vAlign w:val="bottom"/>
            <w:tcBorders>
              <w:bottom w:val="single" w:sz="8" w:color="auto"/>
            </w:tcBorders>
          </w:tcPr>
          <w:p>
            <w:pPr>
              <w:spacing w:after="0"/>
              <w:rPr>
                <w:sz w:val="2"/>
                <w:szCs w:val="2"/>
                <w:color w:val="auto"/>
              </w:rPr>
            </w:pPr>
          </w:p>
        </w:tc>
      </w:tr>
      <w:tr>
        <w:trPr>
          <w:trHeight w:val="205"/>
        </w:trPr>
        <w:tc>
          <w:tcPr>
            <w:tcW w:w="466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Rooms revenues</w:t>
            </w:r>
          </w:p>
        </w:tc>
        <w:tc>
          <w:tcPr>
            <w:tcW w:w="6580" w:type="dxa"/>
            <w:vAlign w:val="bottom"/>
            <w:shd w:val="clear" w:color="auto" w:fill="CFF0FC"/>
          </w:tcPr>
          <w:p>
            <w:pPr>
              <w:ind w:left="1020"/>
              <w:spacing w:after="0" w:line="205" w:lineRule="exact"/>
              <w:rPr>
                <w:sz w:val="20"/>
                <w:szCs w:val="20"/>
                <w:color w:val="auto"/>
              </w:rPr>
            </w:pPr>
            <w:r>
              <w:rPr>
                <w:rFonts w:ascii="Times New Roman" w:cs="Times New Roman" w:eastAsia="Times New Roman" w:hAnsi="Times New Roman"/>
                <w:sz w:val="18"/>
                <w:szCs w:val="18"/>
                <w:color w:val="auto"/>
              </w:rPr>
              <w:t>Rooms revenues represent revenues from the occupancy of our hotel rooms</w:t>
            </w:r>
          </w:p>
        </w:tc>
      </w:tr>
      <w:tr>
        <w:trPr>
          <w:trHeight w:val="203"/>
        </w:trPr>
        <w:tc>
          <w:tcPr>
            <w:tcW w:w="4660" w:type="dxa"/>
            <w:vAlign w:val="bottom"/>
            <w:shd w:val="clear" w:color="auto" w:fill="CFF0FC"/>
          </w:tcPr>
          <w:p>
            <w:pPr>
              <w:spacing w:after="0"/>
              <w:rPr>
                <w:sz w:val="17"/>
                <w:szCs w:val="17"/>
                <w:color w:val="auto"/>
              </w:rPr>
            </w:pPr>
          </w:p>
        </w:tc>
        <w:tc>
          <w:tcPr>
            <w:tcW w:w="6580" w:type="dxa"/>
            <w:vAlign w:val="bottom"/>
            <w:shd w:val="clear" w:color="auto" w:fill="CFF0FC"/>
          </w:tcPr>
          <w:p>
            <w:pPr>
              <w:ind w:left="1020"/>
              <w:spacing w:after="0" w:line="202" w:lineRule="exact"/>
              <w:rPr>
                <w:sz w:val="20"/>
                <w:szCs w:val="20"/>
                <w:color w:val="auto"/>
              </w:rPr>
            </w:pPr>
            <w:r>
              <w:rPr>
                <w:rFonts w:ascii="Times New Roman" w:cs="Times New Roman" w:eastAsia="Times New Roman" w:hAnsi="Times New Roman"/>
                <w:sz w:val="18"/>
                <w:szCs w:val="18"/>
                <w:color w:val="auto"/>
              </w:rPr>
              <w:t>and are driven by the occupancy and average daily rate charged. Rooms</w:t>
            </w:r>
          </w:p>
        </w:tc>
      </w:tr>
      <w:tr>
        <w:trPr>
          <w:trHeight w:val="216"/>
        </w:trPr>
        <w:tc>
          <w:tcPr>
            <w:tcW w:w="4660" w:type="dxa"/>
            <w:vAlign w:val="bottom"/>
            <w:shd w:val="clear" w:color="auto" w:fill="CFF0FC"/>
          </w:tcPr>
          <w:p>
            <w:pPr>
              <w:spacing w:after="0"/>
              <w:rPr>
                <w:sz w:val="18"/>
                <w:szCs w:val="18"/>
                <w:color w:val="auto"/>
              </w:rPr>
            </w:pPr>
          </w:p>
        </w:tc>
        <w:tc>
          <w:tcPr>
            <w:tcW w:w="65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revenues do not include ancillary services or fees charged. The contracts for</w:t>
            </w:r>
          </w:p>
        </w:tc>
      </w:tr>
      <w:tr>
        <w:trPr>
          <w:trHeight w:val="203"/>
        </w:trPr>
        <w:tc>
          <w:tcPr>
            <w:tcW w:w="4660" w:type="dxa"/>
            <w:vAlign w:val="bottom"/>
            <w:shd w:val="clear" w:color="auto" w:fill="CFF0FC"/>
          </w:tcPr>
          <w:p>
            <w:pPr>
              <w:spacing w:after="0"/>
              <w:rPr>
                <w:sz w:val="17"/>
                <w:szCs w:val="17"/>
                <w:color w:val="auto"/>
              </w:rPr>
            </w:pPr>
          </w:p>
        </w:tc>
        <w:tc>
          <w:tcPr>
            <w:tcW w:w="6580" w:type="dxa"/>
            <w:vAlign w:val="bottom"/>
            <w:shd w:val="clear" w:color="auto" w:fill="CFF0FC"/>
          </w:tcPr>
          <w:p>
            <w:pPr>
              <w:ind w:left="1020"/>
              <w:spacing w:after="0" w:line="202" w:lineRule="exact"/>
              <w:rPr>
                <w:sz w:val="20"/>
                <w:szCs w:val="20"/>
                <w:color w:val="auto"/>
              </w:rPr>
            </w:pPr>
            <w:r>
              <w:rPr>
                <w:rFonts w:ascii="Times New Roman" w:cs="Times New Roman" w:eastAsia="Times New Roman" w:hAnsi="Times New Roman"/>
                <w:sz w:val="18"/>
                <w:szCs w:val="18"/>
                <w:color w:val="auto"/>
              </w:rPr>
              <w:t>room stays with customers generally are very short term in duration and</w:t>
            </w:r>
          </w:p>
        </w:tc>
      </w:tr>
      <w:tr>
        <w:trPr>
          <w:trHeight w:val="248"/>
        </w:trPr>
        <w:tc>
          <w:tcPr>
            <w:tcW w:w="4660" w:type="dxa"/>
            <w:vAlign w:val="bottom"/>
            <w:shd w:val="clear" w:color="auto" w:fill="CFF0FC"/>
          </w:tcPr>
          <w:p>
            <w:pPr>
              <w:spacing w:after="0"/>
              <w:rPr>
                <w:sz w:val="21"/>
                <w:szCs w:val="21"/>
                <w:color w:val="auto"/>
              </w:rPr>
            </w:pPr>
          </w:p>
        </w:tc>
        <w:tc>
          <w:tcPr>
            <w:tcW w:w="65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revenues are recognized over the course of the hotel stay.</w:t>
            </w:r>
          </w:p>
        </w:tc>
      </w:tr>
      <w:tr>
        <w:trPr>
          <w:trHeight w:val="211"/>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65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Food and beverage revenues consist of revenues from group functions,</w:t>
            </w:r>
          </w:p>
        </w:tc>
      </w:tr>
      <w:tr>
        <w:trPr>
          <w:trHeight w:val="203"/>
        </w:trPr>
        <w:tc>
          <w:tcPr>
            <w:tcW w:w="4660" w:type="dxa"/>
            <w:vAlign w:val="bottom"/>
          </w:tcPr>
          <w:p>
            <w:pPr>
              <w:spacing w:after="0"/>
              <w:rPr>
                <w:sz w:val="17"/>
                <w:szCs w:val="17"/>
                <w:color w:val="auto"/>
              </w:rPr>
            </w:pPr>
          </w:p>
        </w:tc>
        <w:tc>
          <w:tcPr>
            <w:tcW w:w="6580" w:type="dxa"/>
            <w:vAlign w:val="bottom"/>
          </w:tcPr>
          <w:p>
            <w:pPr>
              <w:ind w:left="1020"/>
              <w:spacing w:after="0" w:line="202" w:lineRule="exact"/>
              <w:rPr>
                <w:sz w:val="20"/>
                <w:szCs w:val="20"/>
                <w:color w:val="auto"/>
              </w:rPr>
            </w:pPr>
            <w:r>
              <w:rPr>
                <w:rFonts w:ascii="Times New Roman" w:cs="Times New Roman" w:eastAsia="Times New Roman" w:hAnsi="Times New Roman"/>
                <w:sz w:val="18"/>
                <w:szCs w:val="18"/>
                <w:color w:val="auto"/>
              </w:rPr>
              <w:t>which may include banquet revenues and audio-visual revenues, as well as</w:t>
            </w:r>
          </w:p>
        </w:tc>
      </w:tr>
      <w:tr>
        <w:trPr>
          <w:trHeight w:val="216"/>
        </w:trPr>
        <w:tc>
          <w:tcPr>
            <w:tcW w:w="4660" w:type="dxa"/>
            <w:vAlign w:val="bottom"/>
          </w:tcPr>
          <w:p>
            <w:pPr>
              <w:spacing w:after="0"/>
              <w:rPr>
                <w:sz w:val="18"/>
                <w:szCs w:val="18"/>
                <w:color w:val="auto"/>
              </w:rPr>
            </w:pPr>
          </w:p>
        </w:tc>
        <w:tc>
          <w:tcPr>
            <w:tcW w:w="65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outlet revenues from the restaurants and lounges at our properties. Revenues</w:t>
            </w:r>
          </w:p>
        </w:tc>
      </w:tr>
      <w:tr>
        <w:trPr>
          <w:trHeight w:val="203"/>
        </w:trPr>
        <w:tc>
          <w:tcPr>
            <w:tcW w:w="4660" w:type="dxa"/>
            <w:vAlign w:val="bottom"/>
          </w:tcPr>
          <w:p>
            <w:pPr>
              <w:spacing w:after="0"/>
              <w:rPr>
                <w:sz w:val="17"/>
                <w:szCs w:val="17"/>
                <w:color w:val="auto"/>
              </w:rPr>
            </w:pPr>
          </w:p>
        </w:tc>
        <w:tc>
          <w:tcPr>
            <w:tcW w:w="6580" w:type="dxa"/>
            <w:vAlign w:val="bottom"/>
          </w:tcPr>
          <w:p>
            <w:pPr>
              <w:ind w:left="1020"/>
              <w:spacing w:after="0" w:line="202" w:lineRule="exact"/>
              <w:rPr>
                <w:sz w:val="20"/>
                <w:szCs w:val="20"/>
                <w:color w:val="auto"/>
              </w:rPr>
            </w:pPr>
            <w:r>
              <w:rPr>
                <w:rFonts w:ascii="Times New Roman" w:cs="Times New Roman" w:eastAsia="Times New Roman" w:hAnsi="Times New Roman"/>
                <w:sz w:val="18"/>
                <w:szCs w:val="18"/>
                <w:color w:val="auto"/>
              </w:rPr>
              <w:t>are recognized as the services or products are provided. Our hotels may</w:t>
            </w:r>
          </w:p>
        </w:tc>
      </w:tr>
      <w:tr>
        <w:trPr>
          <w:trHeight w:val="203"/>
        </w:trPr>
        <w:tc>
          <w:tcPr>
            <w:tcW w:w="4660" w:type="dxa"/>
            <w:vAlign w:val="bottom"/>
          </w:tcPr>
          <w:p>
            <w:pPr>
              <w:spacing w:after="0"/>
              <w:rPr>
                <w:sz w:val="17"/>
                <w:szCs w:val="17"/>
                <w:color w:val="auto"/>
              </w:rPr>
            </w:pPr>
          </w:p>
        </w:tc>
        <w:tc>
          <w:tcPr>
            <w:tcW w:w="6580" w:type="dxa"/>
            <w:vAlign w:val="bottom"/>
          </w:tcPr>
          <w:p>
            <w:pPr>
              <w:ind w:left="1020"/>
              <w:spacing w:after="0" w:line="202" w:lineRule="exact"/>
              <w:rPr>
                <w:sz w:val="20"/>
                <w:szCs w:val="20"/>
                <w:color w:val="auto"/>
              </w:rPr>
            </w:pPr>
            <w:r>
              <w:rPr>
                <w:rFonts w:ascii="Times New Roman" w:cs="Times New Roman" w:eastAsia="Times New Roman" w:hAnsi="Times New Roman"/>
                <w:sz w:val="18"/>
                <w:szCs w:val="18"/>
                <w:color w:val="auto"/>
              </w:rPr>
              <w:t>employ third parties to provide certain services, for example, audio and</w:t>
            </w:r>
          </w:p>
        </w:tc>
      </w:tr>
      <w:tr>
        <w:trPr>
          <w:trHeight w:val="203"/>
        </w:trPr>
        <w:tc>
          <w:tcPr>
            <w:tcW w:w="4660" w:type="dxa"/>
            <w:vAlign w:val="bottom"/>
          </w:tcPr>
          <w:p>
            <w:pPr>
              <w:spacing w:after="0"/>
              <w:rPr>
                <w:sz w:val="17"/>
                <w:szCs w:val="17"/>
                <w:color w:val="auto"/>
              </w:rPr>
            </w:pPr>
          </w:p>
        </w:tc>
        <w:tc>
          <w:tcPr>
            <w:tcW w:w="6580" w:type="dxa"/>
            <w:vAlign w:val="bottom"/>
          </w:tcPr>
          <w:p>
            <w:pPr>
              <w:ind w:left="1020"/>
              <w:spacing w:after="0" w:line="202" w:lineRule="exact"/>
              <w:rPr>
                <w:sz w:val="20"/>
                <w:szCs w:val="20"/>
                <w:color w:val="auto"/>
              </w:rPr>
            </w:pPr>
            <w:r>
              <w:rPr>
                <w:rFonts w:ascii="Times New Roman" w:cs="Times New Roman" w:eastAsia="Times New Roman" w:hAnsi="Times New Roman"/>
                <w:sz w:val="18"/>
                <w:szCs w:val="18"/>
                <w:color w:val="auto"/>
              </w:rPr>
              <w:t>visual services. These contracts are evaluated to determine if the hotel is the</w:t>
            </w:r>
          </w:p>
        </w:tc>
      </w:tr>
      <w:tr>
        <w:trPr>
          <w:trHeight w:val="203"/>
        </w:trPr>
        <w:tc>
          <w:tcPr>
            <w:tcW w:w="4660" w:type="dxa"/>
            <w:vAlign w:val="bottom"/>
          </w:tcPr>
          <w:p>
            <w:pPr>
              <w:spacing w:after="0"/>
              <w:rPr>
                <w:sz w:val="17"/>
                <w:szCs w:val="17"/>
                <w:color w:val="auto"/>
              </w:rPr>
            </w:pPr>
          </w:p>
        </w:tc>
        <w:tc>
          <w:tcPr>
            <w:tcW w:w="6580" w:type="dxa"/>
            <w:vAlign w:val="bottom"/>
          </w:tcPr>
          <w:p>
            <w:pPr>
              <w:ind w:left="1020"/>
              <w:spacing w:after="0" w:line="202" w:lineRule="exact"/>
              <w:rPr>
                <w:sz w:val="20"/>
                <w:szCs w:val="20"/>
                <w:color w:val="auto"/>
              </w:rPr>
            </w:pPr>
            <w:r>
              <w:rPr>
                <w:rFonts w:ascii="Times New Roman" w:cs="Times New Roman" w:eastAsia="Times New Roman" w:hAnsi="Times New Roman"/>
                <w:sz w:val="18"/>
                <w:szCs w:val="18"/>
                <w:color w:val="auto"/>
              </w:rPr>
              <w:t>principal or the agent in the transaction and we record the revenues as</w:t>
            </w:r>
          </w:p>
        </w:tc>
      </w:tr>
      <w:tr>
        <w:trPr>
          <w:trHeight w:val="234"/>
        </w:trPr>
        <w:tc>
          <w:tcPr>
            <w:tcW w:w="4660" w:type="dxa"/>
            <w:vAlign w:val="bottom"/>
          </w:tcPr>
          <w:p>
            <w:pPr>
              <w:spacing w:after="0"/>
              <w:rPr>
                <w:sz w:val="20"/>
                <w:szCs w:val="20"/>
                <w:color w:val="auto"/>
              </w:rPr>
            </w:pPr>
          </w:p>
        </w:tc>
        <w:tc>
          <w:tcPr>
            <w:tcW w:w="65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appropriate (i.e., gross vs. net).</w:t>
            </w:r>
          </w:p>
        </w:tc>
      </w:tr>
      <w:tr>
        <w:trPr>
          <w:trHeight w:val="27"/>
        </w:trPr>
        <w:tc>
          <w:tcPr>
            <w:tcW w:w="466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11"/>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65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Other revenues consist of ancillary revenues at the hotel, including attrition</w:t>
            </w:r>
          </w:p>
        </w:tc>
      </w:tr>
      <w:tr>
        <w:trPr>
          <w:trHeight w:val="203"/>
        </w:trPr>
        <w:tc>
          <w:tcPr>
            <w:tcW w:w="4660" w:type="dxa"/>
            <w:vAlign w:val="bottom"/>
            <w:shd w:val="clear" w:color="auto" w:fill="CFF0FC"/>
          </w:tcPr>
          <w:p>
            <w:pPr>
              <w:spacing w:after="0"/>
              <w:rPr>
                <w:sz w:val="17"/>
                <w:szCs w:val="17"/>
                <w:color w:val="auto"/>
              </w:rPr>
            </w:pPr>
          </w:p>
        </w:tc>
        <w:tc>
          <w:tcPr>
            <w:tcW w:w="6580" w:type="dxa"/>
            <w:vAlign w:val="bottom"/>
            <w:shd w:val="clear" w:color="auto" w:fill="CFF0FC"/>
          </w:tcPr>
          <w:p>
            <w:pPr>
              <w:ind w:left="1020"/>
              <w:spacing w:after="0" w:line="202" w:lineRule="exact"/>
              <w:rPr>
                <w:sz w:val="20"/>
                <w:szCs w:val="20"/>
                <w:color w:val="auto"/>
              </w:rPr>
            </w:pPr>
            <w:r>
              <w:rPr>
                <w:rFonts w:ascii="Times New Roman" w:cs="Times New Roman" w:eastAsia="Times New Roman" w:hAnsi="Times New Roman"/>
                <w:sz w:val="18"/>
                <w:szCs w:val="18"/>
                <w:color w:val="auto"/>
              </w:rPr>
              <w:t>and cancelation fees, golf courses, resort and destination fees, spas,</w:t>
            </w:r>
          </w:p>
        </w:tc>
      </w:tr>
      <w:tr>
        <w:trPr>
          <w:trHeight w:val="216"/>
        </w:trPr>
        <w:tc>
          <w:tcPr>
            <w:tcW w:w="4660" w:type="dxa"/>
            <w:vAlign w:val="bottom"/>
            <w:shd w:val="clear" w:color="auto" w:fill="CFF0FC"/>
          </w:tcPr>
          <w:p>
            <w:pPr>
              <w:spacing w:after="0"/>
              <w:rPr>
                <w:sz w:val="18"/>
                <w:szCs w:val="18"/>
                <w:color w:val="auto"/>
              </w:rPr>
            </w:pPr>
          </w:p>
        </w:tc>
        <w:tc>
          <w:tcPr>
            <w:tcW w:w="65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entertainment and other guest services, as well as rental revenues; primarily</w:t>
            </w:r>
          </w:p>
        </w:tc>
      </w:tr>
      <w:tr>
        <w:trPr>
          <w:trHeight w:val="203"/>
        </w:trPr>
        <w:tc>
          <w:tcPr>
            <w:tcW w:w="4660" w:type="dxa"/>
            <w:vAlign w:val="bottom"/>
            <w:shd w:val="clear" w:color="auto" w:fill="CFF0FC"/>
          </w:tcPr>
          <w:p>
            <w:pPr>
              <w:spacing w:after="0"/>
              <w:rPr>
                <w:sz w:val="17"/>
                <w:szCs w:val="17"/>
                <w:color w:val="auto"/>
              </w:rPr>
            </w:pPr>
          </w:p>
        </w:tc>
        <w:tc>
          <w:tcPr>
            <w:tcW w:w="6580" w:type="dxa"/>
            <w:vAlign w:val="bottom"/>
            <w:shd w:val="clear" w:color="auto" w:fill="CFF0FC"/>
          </w:tcPr>
          <w:p>
            <w:pPr>
              <w:ind w:left="1020"/>
              <w:spacing w:after="0" w:line="202" w:lineRule="exact"/>
              <w:rPr>
                <w:sz w:val="20"/>
                <w:szCs w:val="20"/>
                <w:color w:val="auto"/>
              </w:rPr>
            </w:pPr>
            <w:r>
              <w:rPr>
                <w:rFonts w:ascii="Times New Roman" w:cs="Times New Roman" w:eastAsia="Times New Roman" w:hAnsi="Times New Roman"/>
                <w:sz w:val="18"/>
                <w:szCs w:val="18"/>
                <w:color w:val="auto"/>
              </w:rPr>
              <w:t>consisting of leased retail outlets. Other revenues generally are recognized</w:t>
            </w:r>
          </w:p>
        </w:tc>
      </w:tr>
      <w:tr>
        <w:trPr>
          <w:trHeight w:val="203"/>
        </w:trPr>
        <w:tc>
          <w:tcPr>
            <w:tcW w:w="4660" w:type="dxa"/>
            <w:vAlign w:val="bottom"/>
            <w:shd w:val="clear" w:color="auto" w:fill="CFF0FC"/>
          </w:tcPr>
          <w:p>
            <w:pPr>
              <w:spacing w:after="0"/>
              <w:rPr>
                <w:sz w:val="17"/>
                <w:szCs w:val="17"/>
                <w:color w:val="auto"/>
              </w:rPr>
            </w:pPr>
          </w:p>
        </w:tc>
        <w:tc>
          <w:tcPr>
            <w:tcW w:w="6580" w:type="dxa"/>
            <w:vAlign w:val="bottom"/>
            <w:shd w:val="clear" w:color="auto" w:fill="CFF0FC"/>
          </w:tcPr>
          <w:p>
            <w:pPr>
              <w:ind w:left="1020"/>
              <w:spacing w:after="0" w:line="202" w:lineRule="exact"/>
              <w:rPr>
                <w:sz w:val="20"/>
                <w:szCs w:val="20"/>
                <w:color w:val="auto"/>
              </w:rPr>
            </w:pPr>
            <w:r>
              <w:rPr>
                <w:rFonts w:ascii="Times New Roman" w:cs="Times New Roman" w:eastAsia="Times New Roman" w:hAnsi="Times New Roman"/>
                <w:sz w:val="18"/>
                <w:szCs w:val="18"/>
                <w:color w:val="auto"/>
              </w:rPr>
              <w:t>as the services or products are provided. Attrition and cancelation fees are</w:t>
            </w:r>
          </w:p>
        </w:tc>
      </w:tr>
      <w:tr>
        <w:trPr>
          <w:trHeight w:val="203"/>
        </w:trPr>
        <w:tc>
          <w:tcPr>
            <w:tcW w:w="4660" w:type="dxa"/>
            <w:vAlign w:val="bottom"/>
            <w:shd w:val="clear" w:color="auto" w:fill="CFF0FC"/>
          </w:tcPr>
          <w:p>
            <w:pPr>
              <w:spacing w:after="0"/>
              <w:rPr>
                <w:sz w:val="17"/>
                <w:szCs w:val="17"/>
                <w:color w:val="auto"/>
              </w:rPr>
            </w:pPr>
          </w:p>
        </w:tc>
        <w:tc>
          <w:tcPr>
            <w:tcW w:w="6580" w:type="dxa"/>
            <w:vAlign w:val="bottom"/>
            <w:shd w:val="clear" w:color="auto" w:fill="CFF0FC"/>
          </w:tcPr>
          <w:p>
            <w:pPr>
              <w:ind w:left="1020"/>
              <w:spacing w:after="0" w:line="202" w:lineRule="exact"/>
              <w:rPr>
                <w:sz w:val="20"/>
                <w:szCs w:val="20"/>
                <w:color w:val="auto"/>
              </w:rPr>
            </w:pPr>
            <w:r>
              <w:rPr>
                <w:rFonts w:ascii="Times New Roman" w:cs="Times New Roman" w:eastAsia="Times New Roman" w:hAnsi="Times New Roman"/>
                <w:sz w:val="18"/>
                <w:szCs w:val="18"/>
                <w:color w:val="auto"/>
              </w:rPr>
              <w:t>recognized for non-cancelable deposits when the customer provides</w:t>
            </w:r>
          </w:p>
        </w:tc>
      </w:tr>
      <w:tr>
        <w:trPr>
          <w:trHeight w:val="202"/>
        </w:trPr>
        <w:tc>
          <w:tcPr>
            <w:tcW w:w="4660" w:type="dxa"/>
            <w:vAlign w:val="bottom"/>
            <w:shd w:val="clear" w:color="auto" w:fill="CFF0FC"/>
          </w:tcPr>
          <w:p>
            <w:pPr>
              <w:spacing w:after="0"/>
              <w:rPr>
                <w:sz w:val="17"/>
                <w:szCs w:val="17"/>
                <w:color w:val="auto"/>
              </w:rPr>
            </w:pPr>
          </w:p>
        </w:tc>
        <w:tc>
          <w:tcPr>
            <w:tcW w:w="6580" w:type="dxa"/>
            <w:vAlign w:val="bottom"/>
            <w:shd w:val="clear" w:color="auto" w:fill="CFF0FC"/>
          </w:tcPr>
          <w:p>
            <w:pPr>
              <w:ind w:left="1020"/>
              <w:spacing w:after="0" w:line="202" w:lineRule="exact"/>
              <w:rPr>
                <w:sz w:val="20"/>
                <w:szCs w:val="20"/>
                <w:color w:val="auto"/>
              </w:rPr>
            </w:pPr>
            <w:r>
              <w:rPr>
                <w:rFonts w:ascii="Times New Roman" w:cs="Times New Roman" w:eastAsia="Times New Roman" w:hAnsi="Times New Roman"/>
                <w:sz w:val="18"/>
                <w:szCs w:val="18"/>
                <w:color w:val="auto"/>
              </w:rPr>
              <w:t>notification of cancelation or is a no-show for the specified date, whichever</w:t>
            </w:r>
          </w:p>
        </w:tc>
      </w:tr>
      <w:tr>
        <w:trPr>
          <w:trHeight w:val="241"/>
        </w:trPr>
        <w:tc>
          <w:tcPr>
            <w:tcW w:w="4660" w:type="dxa"/>
            <w:vAlign w:val="bottom"/>
            <w:tcBorders>
              <w:bottom w:val="single" w:sz="8" w:color="CFF0FC"/>
            </w:tcBorders>
            <w:shd w:val="clear" w:color="auto" w:fill="CFF0FC"/>
          </w:tcPr>
          <w:p>
            <w:pPr>
              <w:spacing w:after="0"/>
              <w:rPr>
                <w:sz w:val="20"/>
                <w:szCs w:val="20"/>
                <w:color w:val="auto"/>
              </w:rPr>
            </w:pPr>
          </w:p>
        </w:tc>
        <w:tc>
          <w:tcPr>
            <w:tcW w:w="6580" w:type="dxa"/>
            <w:vAlign w:val="bottom"/>
            <w:tcBorders>
              <w:bottom w:val="single" w:sz="8" w:color="CFF0FC"/>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comes first.</w:t>
            </w:r>
          </w:p>
        </w:tc>
      </w:tr>
      <w:tr>
        <w:trPr>
          <w:trHeight w:val="211"/>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Condominium sales</w:t>
            </w:r>
          </w:p>
        </w:tc>
        <w:tc>
          <w:tcPr>
            <w:tcW w:w="65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Condominium sales consist of the amount received from the sale of</w:t>
            </w:r>
          </w:p>
        </w:tc>
      </w:tr>
      <w:tr>
        <w:trPr>
          <w:trHeight w:val="203"/>
        </w:trPr>
        <w:tc>
          <w:tcPr>
            <w:tcW w:w="4660" w:type="dxa"/>
            <w:vAlign w:val="bottom"/>
          </w:tcPr>
          <w:p>
            <w:pPr>
              <w:spacing w:after="0"/>
              <w:rPr>
                <w:sz w:val="17"/>
                <w:szCs w:val="17"/>
                <w:color w:val="auto"/>
              </w:rPr>
            </w:pPr>
          </w:p>
        </w:tc>
        <w:tc>
          <w:tcPr>
            <w:tcW w:w="6580" w:type="dxa"/>
            <w:vAlign w:val="bottom"/>
          </w:tcPr>
          <w:p>
            <w:pPr>
              <w:ind w:left="1020"/>
              <w:spacing w:after="0" w:line="202" w:lineRule="exact"/>
              <w:rPr>
                <w:sz w:val="20"/>
                <w:szCs w:val="20"/>
                <w:color w:val="auto"/>
              </w:rPr>
            </w:pPr>
            <w:r>
              <w:rPr>
                <w:rFonts w:ascii="Times New Roman" w:cs="Times New Roman" w:eastAsia="Times New Roman" w:hAnsi="Times New Roman"/>
                <w:sz w:val="18"/>
                <w:szCs w:val="18"/>
                <w:color w:val="auto"/>
              </w:rPr>
              <w:t>condominium units adjacent to the Four Seasons Resort Orlando at Walt</w:t>
            </w:r>
          </w:p>
        </w:tc>
      </w:tr>
      <w:tr>
        <w:trPr>
          <w:trHeight w:val="216"/>
        </w:trPr>
        <w:tc>
          <w:tcPr>
            <w:tcW w:w="4660" w:type="dxa"/>
            <w:vAlign w:val="bottom"/>
          </w:tcPr>
          <w:p>
            <w:pPr>
              <w:spacing w:after="0"/>
              <w:rPr>
                <w:sz w:val="18"/>
                <w:szCs w:val="18"/>
                <w:color w:val="auto"/>
              </w:rPr>
            </w:pPr>
          </w:p>
        </w:tc>
        <w:tc>
          <w:tcPr>
            <w:tcW w:w="6580" w:type="dxa"/>
            <w:vAlign w:val="bottom"/>
          </w:tcPr>
          <w:p>
            <w:pPr>
              <w:ind w:left="1020"/>
              <w:spacing w:after="0" w:line="216" w:lineRule="exact"/>
              <w:rPr>
                <w:sz w:val="20"/>
                <w:szCs w:val="20"/>
                <w:color w:val="auto"/>
              </w:rPr>
            </w:pPr>
            <w:r>
              <w:rPr>
                <w:rFonts w:ascii="Times New Roman" w:cs="Times New Roman" w:eastAsia="Times New Roman" w:hAnsi="Times New Roman"/>
                <w:sz w:val="18"/>
                <w:szCs w:val="18"/>
                <w:color w:val="auto"/>
              </w:rPr>
              <w:t>Disney World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Resort. Revenue from the sale of condominium units is</w:t>
            </w:r>
          </w:p>
        </w:tc>
      </w:tr>
      <w:tr>
        <w:trPr>
          <w:trHeight w:val="203"/>
        </w:trPr>
        <w:tc>
          <w:tcPr>
            <w:tcW w:w="4660" w:type="dxa"/>
            <w:vAlign w:val="bottom"/>
          </w:tcPr>
          <w:p>
            <w:pPr>
              <w:spacing w:after="0"/>
              <w:rPr>
                <w:sz w:val="17"/>
                <w:szCs w:val="17"/>
                <w:color w:val="auto"/>
              </w:rPr>
            </w:pPr>
          </w:p>
        </w:tc>
        <w:tc>
          <w:tcPr>
            <w:tcW w:w="6580" w:type="dxa"/>
            <w:vAlign w:val="bottom"/>
          </w:tcPr>
          <w:p>
            <w:pPr>
              <w:ind w:left="1020"/>
              <w:spacing w:after="0" w:line="202" w:lineRule="exact"/>
              <w:rPr>
                <w:sz w:val="20"/>
                <w:szCs w:val="20"/>
                <w:color w:val="auto"/>
              </w:rPr>
            </w:pPr>
            <w:r>
              <w:rPr>
                <w:rFonts w:ascii="Times New Roman" w:cs="Times New Roman" w:eastAsia="Times New Roman" w:hAnsi="Times New Roman"/>
                <w:sz w:val="18"/>
                <w:szCs w:val="18"/>
                <w:color w:val="auto"/>
              </w:rPr>
              <w:t>recognized at the point in time when control is transferred to the customer,</w:t>
            </w:r>
          </w:p>
        </w:tc>
      </w:tr>
      <w:tr>
        <w:trPr>
          <w:trHeight w:val="234"/>
        </w:trPr>
        <w:tc>
          <w:tcPr>
            <w:tcW w:w="4660" w:type="dxa"/>
            <w:vAlign w:val="bottom"/>
          </w:tcPr>
          <w:p>
            <w:pPr>
              <w:spacing w:after="0"/>
              <w:rPr>
                <w:sz w:val="20"/>
                <w:szCs w:val="20"/>
                <w:color w:val="auto"/>
              </w:rPr>
            </w:pPr>
          </w:p>
        </w:tc>
        <w:tc>
          <w:tcPr>
            <w:tcW w:w="65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typically at closing.</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evaluating the fair value of both financial and non-financial assets and liabilities, GAAP outlines a valuation framework and creates a fair value hierarchy that distinguishes between market assumptions based on market data (“observable inputs”) and a reporting entity’s own assumptions about market data (“unobservable inputs”). Fair value is defined as the price that would be received to sell an asset or paid to transfer a liability at the measurement date in an orderly transaction (an “exit price”). Assets and liabilities are measured using inputs from three levels of the fair value hierarchy. The three levels are as follows:</w:t>
      </w:r>
    </w:p>
    <w:p>
      <w:pPr>
        <w:spacing w:after="0" w:line="75"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Level 1 — Inputs are quoted prices (unadjusted) in active markets for identical assets or liabilities that we have the ability to access at the measurement date. An active market is defined as a market in which transactions occur with sufficient frequency and volume to provide pricing on an ongoing basis.</w:t>
      </w:r>
    </w:p>
    <w:p>
      <w:pPr>
        <w:spacing w:after="0" w:line="6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Level 2 — Inputs include quoted prices in active markets for similar assets and liabilities, quoted prices for identical or similar assets or liabilities in markets that are not active (markets with few transactions), inputs other than quoted prices that are observable for the asset or liability (i.e., interest rates, yield curves, etc.), and inputs that are derived principally from or corroborated by observable market data correlation or other means.</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Level 3 — Unobservable inputs reflect our assumptions about the pricing of an asset or liability when observable inputs are not available.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Common Share (Unit)</w:t>
      </w:r>
    </w:p>
    <w:p>
      <w:pPr>
        <w:spacing w:after="0" w:line="121"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Basic earnings per common share (unit) is computed by dividing net income attributable to common stockholders (unitholders) by the weighted average number of shares of Host Inc. common stock or Host L.P. common units outstanding. Diluted earnings per common share (unit) is computed by dividing net income attributable to common stockholders (unitholders), as adjusted for potentially dilutive securities, by the weighted average number of shares of Host Inc. common stock or Host L.P. common units outstanding plus other potentially dilutive securities. Dilutive securities may include shares granted under comprehensive stock plans or the common OP units distributed to Host Inc. to support such shares granted, and other non-controlling interests that have the option to convert their limited partner interests to common OP units. No effect is shown for any securities that are anti-dilutive. There are 9.4 million Host L.P. common units, which are convertible into 9.6 million Host Inc. common shares, that are not included in Host Inc.'s calculation of earnings per share as their effect is not dilutive.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calculation of Host Inc. basic and diluted earnings per common share is shown below (in millions, except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9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69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96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FF0FC"/>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4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50"/>
        </w:trPr>
        <w:tc>
          <w:tcPr>
            <w:tcW w:w="696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8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Host Hotels &amp; Resorts, Inc.</w:t>
            </w:r>
          </w:p>
        </w:tc>
        <w:tc>
          <w:tcPr>
            <w:tcW w:w="860" w:type="dxa"/>
            <w:vAlign w:val="bottom"/>
            <w:shd w:val="clear" w:color="auto" w:fill="CFF0FC"/>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4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0"/>
        </w:trPr>
        <w:tc>
          <w:tcPr>
            <w:tcW w:w="69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86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709.7</w:t>
            </w:r>
          </w:p>
        </w:tc>
      </w:tr>
      <w:tr>
        <w:trPr>
          <w:trHeight w:val="211"/>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Assuming distribution of common shares granted under the comprehensive stock plans, less</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assumed</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1"/>
        </w:trPr>
        <w:tc>
          <w:tcPr>
            <w:tcW w:w="6960" w:type="dxa"/>
            <w:vAlign w:val="bottom"/>
            <w:tcBorders>
              <w:bottom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purchased at market</w:t>
            </w:r>
          </w:p>
        </w:tc>
        <w:tc>
          <w:tcPr>
            <w:tcW w:w="8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5"/>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860" w:type="dxa"/>
            <w:vAlign w:val="bottom"/>
            <w:tcBorders>
              <w:bottom w:val="single" w:sz="8" w:color="auto"/>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20" w:type="dxa"/>
            <w:vAlign w:val="bottom"/>
            <w:tcBorders>
              <w:bottom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712.8</w:t>
            </w:r>
          </w:p>
        </w:tc>
      </w:tr>
      <w:tr>
        <w:trPr>
          <w:trHeight w:val="20"/>
        </w:trPr>
        <w:tc>
          <w:tcPr>
            <w:tcW w:w="69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r>
      <w:tr>
        <w:trPr>
          <w:trHeight w:val="237"/>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6960" w:type="dxa"/>
            <w:vAlign w:val="bottom"/>
            <w:tcBorders>
              <w:bottom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860" w:type="dxa"/>
            <w:vAlign w:val="bottom"/>
            <w:shd w:val="clear" w:color="auto" w:fill="CFF0FC"/>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shd w:val="clear" w:color="auto" w:fill="CFF0FC"/>
          </w:tcPr>
          <w:p>
            <w:pPr>
              <w:spacing w:after="0"/>
              <w:rPr>
                <w:sz w:val="23"/>
                <w:szCs w:val="23"/>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69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calculation of Host L.P. basic and diluted earnings per common unit is shown below (in millions, except per unit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9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69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96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FF0FC"/>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4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50"/>
        </w:trPr>
        <w:tc>
          <w:tcPr>
            <w:tcW w:w="696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8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Host Hotels &amp; Resorts, L.P.</w:t>
            </w:r>
          </w:p>
        </w:tc>
        <w:tc>
          <w:tcPr>
            <w:tcW w:w="860" w:type="dxa"/>
            <w:vAlign w:val="bottom"/>
            <w:shd w:val="clear" w:color="auto" w:fill="CFF0FC"/>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4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FF0FC"/>
          </w:tcPr>
          <w:p>
            <w:pPr>
              <w:spacing w:after="0"/>
              <w:rPr>
                <w:sz w:val="23"/>
                <w:szCs w:val="23"/>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0"/>
        </w:trPr>
        <w:tc>
          <w:tcPr>
            <w:tcW w:w="69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6"/>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weighted average units outstanding</w:t>
            </w:r>
          </w:p>
        </w:tc>
        <w:tc>
          <w:tcPr>
            <w:tcW w:w="86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704.5</w:t>
            </w:r>
          </w:p>
        </w:tc>
      </w:tr>
      <w:tr>
        <w:trPr>
          <w:trHeight w:val="211"/>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Assuming distribution of common units granted under the comprehensive stock plans, less</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696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units assumed</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5"/>
        </w:trPr>
        <w:tc>
          <w:tcPr>
            <w:tcW w:w="6960" w:type="dxa"/>
            <w:vAlign w:val="bottom"/>
            <w:tcBorders>
              <w:bottom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purchased at market</w:t>
            </w:r>
          </w:p>
        </w:tc>
        <w:tc>
          <w:tcPr>
            <w:tcW w:w="8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5"/>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weighted average units outstanding</w:t>
            </w:r>
          </w:p>
        </w:tc>
        <w:tc>
          <w:tcPr>
            <w:tcW w:w="860" w:type="dxa"/>
            <w:vAlign w:val="bottom"/>
            <w:tcBorders>
              <w:bottom w:val="single" w:sz="8" w:color="auto"/>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20" w:type="dxa"/>
            <w:vAlign w:val="bottom"/>
            <w:tcBorders>
              <w:bottom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707.5</w:t>
            </w:r>
          </w:p>
        </w:tc>
      </w:tr>
      <w:tr>
        <w:trPr>
          <w:trHeight w:val="20"/>
        </w:trPr>
        <w:tc>
          <w:tcPr>
            <w:tcW w:w="69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unit</w:t>
            </w: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6960" w:type="dxa"/>
            <w:vAlign w:val="bottom"/>
            <w:tcBorders>
              <w:bottom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common unit</w:t>
            </w:r>
          </w:p>
        </w:tc>
        <w:tc>
          <w:tcPr>
            <w:tcW w:w="860" w:type="dxa"/>
            <w:vAlign w:val="bottom"/>
            <w:shd w:val="clear" w:color="auto" w:fill="CFF0FC"/>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23"/>
                <w:szCs w:val="23"/>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69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121"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Upon the issuance of Host’s common stock under the compensation plans, Host L.P. will issue to Host Inc. common OP units of an equivalent value. These liabilities are included in the consolidated financial statements for Host Inc. and Host L.P.</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We recognize costs resulting from Host Inc.’s share-based payment transactions over their vesting periods. We classify share-based payment awards granted in exchange for employee services either as equity-classified awards or liability-classified awards. Equity-classified awards are measured based on the fair value on the date of grant. Liability-classified awards are remeasured to fair value each reporting period. The plan includes awards that vest over a one-year, two-year and three-year period. For performance-based awards, compensation cost will be recognized during the requisite service period based on the performance condition that is the most likely outcome. No compensation cost is recognized for awards for which employees do not render the requisite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us to significant concentrations of credit risk consist principally of cash and cash equivalents. We are exposed to credit risk with respect to cash held at various financial institutions and access to our credit facility, however, this cash balance is spread among a diversified group of investment grade financial institutions.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Business Combinations</w:t>
      </w:r>
    </w:p>
    <w:p>
      <w:pPr>
        <w:spacing w:after="0" w:line="13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When acquiring an asset, we determine whether the acquisition is an asset acquisition or a business combination based on whether the fair value of the gross assets acquired is concentrated in a single (group of similar) identifiable assets, resulting in an asset acquisition or, if not, resulting in a business combination. If treated as an asset acquisition, the asset is recorded in accordance with our property and equipment policy and related acquisition costs are capitalized as part of the asset.</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 business combination, we recognize identifiable assets acquired, liabilities assumed, and non-controlling interests at their fair values at the acquisition date based on the exit price (i.e., the price that would be received to sell an asset or paid to transfer a liability in an orderly transaction between market participants at the measurement date). We evaluate several factors, including market data for similar assets, expected cash flows discounted at risk adjusted rates and replacement cost for the assets to determine an appropriate exit cost when evaluating the fair value of our assets and liabilities acquired. Property and equipment are recorded at fair value and such fair value is allocated to land, buildings, improvements, furniture, fixtures and equipment using appraisals and valuations performed by management and independent third parties, and any consideration paid in excess of the net fair value of the identifiable assets and liabilities acquired would be recorded to goodwill. Acquisition-related costs, such as due diligence, legal and accounting fees, are not capitalized or applied in determining the fair value of the acquired assets.</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Other items that we evaluate include identifiable intangible assets, lease assets and liabilities and, in a business combination, goodwill. Identifiable intangible assets typically consist of above- and below-market contracts, including ground and retail leases and management and franchise agreements, which are recorded at fair value in a business combination and at its relative fair value in an asset acquisition. These contract values are based on the present value of the difference between contractual amounts to be paid pursuant to the contracts acquired and our estimate of the fair value of terms and conditions for similar contracts measured over the period equal to the remaining non-cancelable term of the contract. Intangible assets and other liabilities are amortized using the straight-line method over the remaining non-cancelable term of the related agreements. Classification of a lease does not change if it is part of an asset acquisition or a business combination. In making estimates of fair values for purposes of allocating purchase price, we may utilize a number of sources that arise in connection with the acquisition or financing of a property and other market data, including third-party appraisals and valuations. In certain situations, and usually only in connection with the acquisition of a foreign hotel, a deferred tax liability is recognized due to the difference between the fair value and the tax basis of the acquired assets at the acquisition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consider an arrangement to contain a lease if it conveys the right to control the use of an identified asset for a period of time in exchange for compensation. All leases pursuant to which we are the lessee, including operating leases, are recognized as lease assets and lease liabilities on the balance sheet. Right-of-use (“ROU”) assets represent our right to use an underlying asset for the lease term and lease liabilities represent the present value of our fixed payment obligations. Leases with a term of 12 months or less are not recorded on the balance sheet. We use our estimated incremental borrowing rate to determine the present value of our lease obligations at initiation or modification. Our operating leases may require fixed payments, variable payments based on a percentage of revenue or income, or payments equal to the greater of a fixed or variable payment. Variable payments are excluded from the ROU assets and lease liabilities and are recognized in the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period in which the obligation is incurred. Operating lease expense is recognized on a straight-line basis over the lease term. Our lease terms include renewal options that we are reasonably certain to exercise, and renewal options controlled by the lessor.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w:t>
      </w:r>
    </w:p>
    <w:p>
      <w:pPr>
        <w:spacing w:after="0" w:line="121"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At December 31, 2025, our notes receivable consists of one outstanding loan issued in connection with a hotel sale. In conjunction with our dispositions, we may issue a loan to the purchaser to facilitate the sale. The loan is collateralized by the corresponding sold hotel and, in the event of a default of the loan, we would seek to enforce our rights against the collateral in accordance with the terms of the loan agreement. The loan is recorded at amortized cost, on an individual asset basis. We recognize interest as it is earned and include accrued interest receivable in other assets on the balance sheets. We individually assess our notes receivable for credit losses quarterly and estimate any credit losses based on an analysis of several factors, primarily the value of the hotel collateral, as well as current economic conditions and historical trends.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1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January 1, 2025, we adopted ASU No.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The standard requires additional disclosures about income taxes, including specific categories in the rate reconciliation and disaggregated information on income taxes paid and income from continuing operations. The standard also eliminates the requirement to disclose an estimated range of the reasonably possible change in unrecognized tax benefits in the next 12 months. Additional disclosures are included in Note 7 – Income Taxes to comply with the new requirements</w:t>
      </w:r>
      <w:r>
        <w:rPr>
          <w:rFonts w:ascii="Times New Roman" w:cs="Times New Roman" w:eastAsia="Times New Roman" w:hAnsi="Times New Roman"/>
          <w:sz w:val="18"/>
          <w:szCs w:val="18"/>
          <w:b w:val="1"/>
          <w:bCs w:val="1"/>
          <w:color w:val="auto"/>
        </w:rPr>
        <w:t>.</w:t>
      </w:r>
    </w:p>
    <w:p>
      <w:pPr>
        <w:spacing w:after="0" w:line="7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issued ASU No. 2024-03, Income Statement—Reporting Comprehensive Income —Expense Disaggregation Disclosures (Subtopic 220-40):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The standard requires additional disclosures with more granular information about expenses reported in the income statement. The standard also requires a reporting entity to disaggregate and disclose the nature of certain expense categories, including employee compensation, inventory-related costs, and depreciation, within the financial statement footnotes. We are still evaluating the level of disclosure that will be required. This standard is to be applied either on a prospective or retrospective basis and is effective for annual periods beginning after December 15, 2026, with early adoption permitted.</w:t>
      </w:r>
    </w:p>
    <w:p>
      <w:pPr>
        <w:spacing w:after="0" w:line="1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Revenues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Substantially all our operating results represent revenues and expenses generated by property-level operations. Payments are due from customers when services are provided to them. Due to the short-term nature of our contracts and the almost concurrent receipt of payment, we have no material unearned revenue at year end. We collect sales, use, occupancy and similar taxes from our customers, which we present on a net basis (excluded from revenues) on our statements of operations.</w:t>
      </w:r>
    </w:p>
    <w:p>
      <w:pPr>
        <w:spacing w:after="0" w:line="176"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Disaggregation of Revenues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we do not consider the following disclosure of hotel revenues by location to consist of reportable segments,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disaggregated hotel revenues by market location. Our revenues also are presented by country in Note 16 – Geographic and Business Segment Information.</w:t>
      </w: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By Location. </w:t>
      </w:r>
      <w:r>
        <w:rPr>
          <w:rFonts w:ascii="Times New Roman" w:cs="Times New Roman" w:eastAsia="Times New Roman" w:hAnsi="Times New Roman"/>
          <w:sz w:val="18"/>
          <w:szCs w:val="18"/>
          <w:color w:val="auto"/>
        </w:rPr>
        <w:t>The following table presents hotel revenues for each of the geographic locations in our consolidated hotel portfolio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80" w:type="dxa"/>
            <w:vAlign w:val="bottom"/>
            <w:gridSpan w:val="5"/>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9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5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Orlando</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63"/>
        </w:trPr>
        <w:tc>
          <w:tcPr>
            <w:tcW w:w="6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San Diego</w:t>
            </w: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5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 Gulf Coast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63"/>
        </w:trPr>
        <w:tc>
          <w:tcPr>
            <w:tcW w:w="6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Maui</w:t>
            </w: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5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Francisco/San Jose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63"/>
        </w:trPr>
        <w:tc>
          <w:tcPr>
            <w:tcW w:w="6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Phoenix</w:t>
            </w: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5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Washington, D.C. (Central Business District)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63"/>
        </w:trPr>
        <w:tc>
          <w:tcPr>
            <w:tcW w:w="6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Miami</w:t>
            </w: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5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Oahu</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63"/>
        </w:trPr>
        <w:tc>
          <w:tcPr>
            <w:tcW w:w="6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Boston</w:t>
            </w: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5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63"/>
        </w:trPr>
        <w:tc>
          <w:tcPr>
            <w:tcW w:w="6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Jacksonville</w:t>
            </w: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5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Houston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63"/>
        </w:trPr>
        <w:tc>
          <w:tcPr>
            <w:tcW w:w="6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 Angeles/Orange County</w:t>
            </w: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5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Nashville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San Antonio</w:t>
            </w: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5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Seattle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63"/>
        </w:trPr>
        <w:tc>
          <w:tcPr>
            <w:tcW w:w="6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Orleans</w:t>
            </w: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5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Northern Virginia</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63"/>
        </w:trPr>
        <w:tc>
          <w:tcPr>
            <w:tcW w:w="6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Denver</w:t>
            </w: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5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Philadelphia</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63"/>
        </w:trPr>
        <w:tc>
          <w:tcPr>
            <w:tcW w:w="6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Atlanta</w:t>
            </w: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5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Austin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57"/>
        </w:trPr>
        <w:tc>
          <w:tcPr>
            <w:tcW w:w="6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5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0" w:type="dxa"/>
            <w:vAlign w:val="bottom"/>
          </w:tcPr>
          <w:p>
            <w:pPr>
              <w:spacing w:after="0"/>
              <w:rPr>
                <w:sz w:val="1"/>
                <w:szCs w:val="1"/>
                <w:color w:val="auto"/>
              </w:rPr>
            </w:pPr>
          </w:p>
        </w:tc>
      </w:tr>
      <w:tr>
        <w:trPr>
          <w:trHeight w:val="257"/>
        </w:trPr>
        <w:tc>
          <w:tcPr>
            <w:tcW w:w="6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56"/>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18"/>
          <w:szCs w:val="18"/>
          <w:color w:val="auto"/>
        </w:rPr>
        <w:t>For the year ended December 31, 2025, we had $99 million of revenues related to sales of condominium units adjacent to the Four Seasons Resort Orlando at Walt Disney World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Resort that are excluded from the table above.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consists of the following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8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8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5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15,504</w:t>
            </w:r>
          </w:p>
        </w:tc>
      </w:tr>
      <w:tr>
        <w:trPr>
          <w:trHeight w:val="263"/>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2,546</w:t>
            </w:r>
          </w:p>
        </w:tc>
      </w:tr>
      <w:tr>
        <w:trPr>
          <w:trHeight w:val="250"/>
        </w:trPr>
        <w:tc>
          <w:tcPr>
            <w:tcW w:w="84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57"/>
        </w:trPr>
        <w:tc>
          <w:tcPr>
            <w:tcW w:w="84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21,164</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20,806</w:t>
            </w:r>
          </w:p>
        </w:tc>
      </w:tr>
      <w:tr>
        <w:trPr>
          <w:trHeight w:val="250"/>
        </w:trPr>
        <w:tc>
          <w:tcPr>
            <w:tcW w:w="84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(10,528)</w:t>
            </w: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w:t>
            </w:r>
          </w:p>
        </w:tc>
      </w:tr>
      <w:tr>
        <w:trPr>
          <w:trHeight w:val="275"/>
        </w:trPr>
        <w:tc>
          <w:tcPr>
            <w:tcW w:w="84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10,906</w:t>
            </w:r>
          </w:p>
        </w:tc>
      </w:tr>
      <w:tr>
        <w:trPr>
          <w:trHeight w:val="20"/>
        </w:trPr>
        <w:tc>
          <w:tcPr>
            <w:tcW w:w="84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cost of real estate for federal income tax purposes is approximately $11.5 billion at December 31, 2025.</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Investments in Affiliates</w:t>
      </w:r>
    </w:p>
    <w:p>
      <w:pPr>
        <w:spacing w:after="0" w:line="12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own investments in joint ventures for which the equity method of accounting is used. The debt of our joint ventures, if any, is non-recourse to, and not guaranteed by, us, and a default of such debt does not trigger a default under any of our debt instruments. We carry our investments at historical cost which, due to debt restructurings or distributions, may result in a negative investment balance. However, a negative investment balance does not represent a funding obligation for us or for our partners. Investments in affiliates consist of the following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3"/>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7"/>
              </w:rPr>
              <w:t>Our Portion of</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left="117"/>
              <w:spacing w:after="0" w:line="129" w:lineRule="exact"/>
              <w:rPr>
                <w:sz w:val="20"/>
                <w:szCs w:val="20"/>
                <w:color w:val="auto"/>
              </w:rPr>
            </w:pPr>
            <w:r>
              <w:rPr>
                <w:rFonts w:ascii="Times New Roman" w:cs="Times New Roman" w:eastAsia="Times New Roman" w:hAnsi="Times New Roman"/>
                <w:sz w:val="13"/>
                <w:szCs w:val="13"/>
                <w:b w:val="1"/>
                <w:bCs w:val="1"/>
                <w:color w:val="auto"/>
                <w:w w:val="98"/>
              </w:rPr>
              <w:t>Distributions</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Ownership Interests</w:t>
            </w:r>
          </w:p>
        </w:tc>
        <w:tc>
          <w:tcPr>
            <w:tcW w:w="100" w:type="dxa"/>
            <w:vAlign w:val="bottom"/>
          </w:tcPr>
          <w:p>
            <w:pPr>
              <w:spacing w:after="0"/>
              <w:rPr>
                <w:sz w:val="17"/>
                <w:szCs w:val="17"/>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Our Investment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8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Total Debt</w:t>
            </w:r>
          </w:p>
        </w:tc>
        <w:tc>
          <w:tcPr>
            <w:tcW w:w="1120" w:type="dxa"/>
            <w:vAlign w:val="bottom"/>
            <w:gridSpan w:val="2"/>
          </w:tcPr>
          <w:p>
            <w:pPr>
              <w:jc w:val="center"/>
              <w:spacing w:after="0" w:line="150" w:lineRule="exact"/>
              <w:rPr>
                <w:sz w:val="20"/>
                <w:szCs w:val="20"/>
                <w:color w:val="auto"/>
              </w:rPr>
            </w:pPr>
            <w:r>
              <w:rPr>
                <w:rFonts w:ascii="Times New Roman" w:cs="Times New Roman" w:eastAsia="Times New Roman" w:hAnsi="Times New Roman"/>
                <w:sz w:val="13"/>
                <w:szCs w:val="13"/>
                <w:b w:val="1"/>
                <w:bCs w:val="1"/>
                <w:color w:val="auto"/>
                <w:w w:val="97"/>
              </w:rPr>
              <w:t xml:space="preserve">received in 2025 </w:t>
            </w:r>
            <w:r>
              <w:rPr>
                <w:rFonts w:ascii="MS PGothic" w:cs="MS PGothic" w:eastAsia="MS PGothic" w:hAnsi="MS PGothic"/>
                <w:sz w:val="13"/>
                <w:szCs w:val="13"/>
                <w:color w:val="auto"/>
                <w:w w:val="97"/>
              </w:rPr>
              <w:t>⁽</w:t>
            </w:r>
            <w:r>
              <w:rPr>
                <w:rFonts w:ascii="Times New Roman" w:cs="Times New Roman" w:eastAsia="Times New Roman" w:hAnsi="Times New Roman"/>
                <w:sz w:val="13"/>
                <w:szCs w:val="13"/>
                <w:b w:val="1"/>
                <w:bCs w:val="1"/>
                <w:color w:val="auto"/>
                <w:w w:val="97"/>
              </w:rPr>
              <w:t>¹</w:t>
            </w:r>
            <w:r>
              <w:rPr>
                <w:rFonts w:ascii="MS PGothic" w:cs="MS PGothic" w:eastAsia="MS PGothic" w:hAnsi="MS PGothic"/>
                <w:sz w:val="13"/>
                <w:szCs w:val="13"/>
                <w:color w:val="auto"/>
                <w:w w:val="97"/>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60" w:type="dxa"/>
            <w:vAlign w:val="bottom"/>
          </w:tcPr>
          <w:p>
            <w:pPr>
              <w:ind w:left="146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0" w:type="dxa"/>
            <w:vAlign w:val="bottom"/>
          </w:tcPr>
          <w:p>
            <w:pPr>
              <w:spacing w:after="0"/>
              <w:rPr>
                <w:sz w:val="1"/>
                <w:szCs w:val="1"/>
                <w:color w:val="auto"/>
              </w:rPr>
            </w:pPr>
          </w:p>
        </w:tc>
      </w:tr>
      <w:tr>
        <w:trPr>
          <w:trHeight w:val="176"/>
        </w:trPr>
        <w:tc>
          <w:tcPr>
            <w:tcW w:w="17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Maui JV</w:t>
            </w:r>
          </w:p>
        </w:tc>
        <w:tc>
          <w:tcPr>
            <w:tcW w:w="1240" w:type="dxa"/>
            <w:vAlign w:val="bottom"/>
            <w:tcBorders>
              <w:top w:val="single" w:sz="8" w:color="auto"/>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2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940" w:type="dxa"/>
            <w:vAlign w:val="bottom"/>
            <w:tcBorders>
              <w:top w:val="single" w:sz="8" w:color="auto"/>
              <w:bottom w:val="single" w:sz="8" w:color="CFF0FC"/>
            </w:tcBorders>
            <w:shd w:val="clear" w:color="auto" w:fill="CFF0FC"/>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20" w:type="dxa"/>
            <w:vAlign w:val="bottom"/>
            <w:tcBorders>
              <w:top w:val="single" w:sz="8" w:color="auto"/>
              <w:bottom w:val="single" w:sz="8" w:color="CFF0FC"/>
            </w:tcBorders>
            <w:shd w:val="clear" w:color="auto" w:fill="CFF0FC"/>
          </w:tcPr>
          <w:p>
            <w:pPr>
              <w:spacing w:after="0"/>
              <w:rPr>
                <w:sz w:val="15"/>
                <w:szCs w:val="15"/>
                <w:color w:val="auto"/>
              </w:rPr>
            </w:pPr>
          </w:p>
        </w:tc>
        <w:tc>
          <w:tcPr>
            <w:tcW w:w="3260" w:type="dxa"/>
            <w:vAlign w:val="bottom"/>
            <w:tcBorders>
              <w:top w:val="single" w:sz="8" w:color="auto"/>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131-unit vacation ownership project in Maui, HI</w:t>
            </w:r>
          </w:p>
        </w:tc>
        <w:tc>
          <w:tcPr>
            <w:tcW w:w="0" w:type="dxa"/>
            <w:vAlign w:val="bottom"/>
          </w:tcPr>
          <w:p>
            <w:pPr>
              <w:spacing w:after="0"/>
              <w:rPr>
                <w:sz w:val="1"/>
                <w:szCs w:val="1"/>
                <w:color w:val="auto"/>
              </w:rPr>
            </w:pPr>
          </w:p>
        </w:tc>
      </w:tr>
      <w:tr>
        <w:trPr>
          <w:trHeight w:val="173"/>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Hyatt Place JV</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One hotel in Nashville, TN</w:t>
            </w:r>
          </w:p>
        </w:tc>
        <w:tc>
          <w:tcPr>
            <w:tcW w:w="0" w:type="dxa"/>
            <w:vAlign w:val="bottom"/>
          </w:tcPr>
          <w:p>
            <w:pPr>
              <w:spacing w:after="0"/>
              <w:rPr>
                <w:sz w:val="1"/>
                <w:szCs w:val="1"/>
                <w:color w:val="auto"/>
              </w:rPr>
            </w:pPr>
          </w:p>
        </w:tc>
      </w:tr>
      <w:tr>
        <w:trPr>
          <w:trHeight w:val="30"/>
        </w:trPr>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Harbor Beach JV</w:t>
            </w:r>
          </w:p>
        </w:tc>
        <w:tc>
          <w:tcPr>
            <w:tcW w:w="1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One hotel in Fort Lauderdale, FL</w:t>
            </w:r>
          </w:p>
        </w:tc>
        <w:tc>
          <w:tcPr>
            <w:tcW w:w="0" w:type="dxa"/>
            <w:vAlign w:val="bottom"/>
          </w:tcPr>
          <w:p>
            <w:pPr>
              <w:spacing w:after="0"/>
              <w:rPr>
                <w:sz w:val="1"/>
                <w:szCs w:val="1"/>
                <w:color w:val="auto"/>
              </w:rPr>
            </w:pPr>
          </w:p>
        </w:tc>
      </w:tr>
      <w:tr>
        <w:trPr>
          <w:trHeight w:val="144"/>
        </w:trPr>
        <w:tc>
          <w:tcPr>
            <w:tcW w:w="17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w w:val="98"/>
              </w:rPr>
              <w:t>Philadelphia Marriott Downtown</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740" w:type="dxa"/>
            <w:vAlign w:val="bottom"/>
          </w:tcPr>
          <w:p>
            <w:pPr>
              <w:jc w:val="center"/>
              <w:ind w:right="1177"/>
              <w:spacing w:after="0"/>
              <w:rPr>
                <w:sz w:val="20"/>
                <w:szCs w:val="20"/>
                <w:color w:val="auto"/>
              </w:rPr>
            </w:pPr>
            <w:r>
              <w:rPr>
                <w:rFonts w:ascii="Times New Roman" w:cs="Times New Roman" w:eastAsia="Times New Roman" w:hAnsi="Times New Roman"/>
                <w:sz w:val="13"/>
                <w:szCs w:val="13"/>
                <w:color w:val="auto"/>
                <w:w w:val="96"/>
              </w:rPr>
              <w:t>JV</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One hotel in Philadelphia, PA</w:t>
            </w:r>
          </w:p>
        </w:tc>
        <w:tc>
          <w:tcPr>
            <w:tcW w:w="0" w:type="dxa"/>
            <w:vAlign w:val="bottom"/>
          </w:tcPr>
          <w:p>
            <w:pPr>
              <w:spacing w:after="0"/>
              <w:rPr>
                <w:sz w:val="1"/>
                <w:szCs w:val="1"/>
                <w:color w:val="auto"/>
              </w:rPr>
            </w:pPr>
          </w:p>
        </w:tc>
      </w:tr>
      <w:tr>
        <w:trPr>
          <w:trHeight w:val="30"/>
        </w:trPr>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74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Noble JV</w:t>
            </w:r>
          </w:p>
        </w:tc>
        <w:tc>
          <w:tcPr>
            <w:tcW w:w="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2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Asset management and general partner of real estate fund;</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21.15 - 49%</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818</w:t>
            </w: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6"/>
              </w:rPr>
              <w:t>12</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select-service and extended stay hotels in the United States</w:t>
            </w:r>
          </w:p>
        </w:tc>
        <w:tc>
          <w:tcPr>
            <w:tcW w:w="0" w:type="dxa"/>
            <w:vAlign w:val="bottom"/>
          </w:tcPr>
          <w:p>
            <w:pPr>
              <w:spacing w:after="0"/>
              <w:rPr>
                <w:sz w:val="1"/>
                <w:szCs w:val="1"/>
                <w:color w:val="auto"/>
              </w:rPr>
            </w:pPr>
          </w:p>
        </w:tc>
      </w:tr>
      <w:tr>
        <w:trPr>
          <w:trHeight w:val="173"/>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Fifth Wall Ventures</w:t>
            </w: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Real estate industry technology investment</w:t>
            </w:r>
          </w:p>
        </w:tc>
        <w:tc>
          <w:tcPr>
            <w:tcW w:w="0" w:type="dxa"/>
            <w:vAlign w:val="bottom"/>
          </w:tcPr>
          <w:p>
            <w:pPr>
              <w:spacing w:after="0"/>
              <w:rPr>
                <w:sz w:val="1"/>
                <w:szCs w:val="1"/>
                <w:color w:val="auto"/>
              </w:rPr>
            </w:pPr>
          </w:p>
        </w:tc>
      </w:tr>
      <w:tr>
        <w:trPr>
          <w:trHeight w:val="30"/>
        </w:trPr>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investments</w:t>
            </w:r>
          </w:p>
        </w:tc>
        <w:tc>
          <w:tcPr>
            <w:tcW w:w="2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2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740" w:type="dxa"/>
            <w:vAlign w:val="bottom"/>
          </w:tcPr>
          <w:p>
            <w:pPr>
              <w:jc w:val="center"/>
              <w:ind w:right="1137"/>
              <w:spacing w:after="0"/>
              <w:rPr>
                <w:sz w:val="20"/>
                <w:szCs w:val="20"/>
                <w:color w:val="auto"/>
              </w:rPr>
            </w:pPr>
            <w:r>
              <w:rPr>
                <w:rFonts w:ascii="Times New Roman" w:cs="Times New Roman" w:eastAsia="Times New Roman" w:hAnsi="Times New Roman"/>
                <w:sz w:val="13"/>
                <w:szCs w:val="13"/>
                <w:color w:val="auto"/>
                <w:w w:val="94"/>
              </w:rPr>
              <w:t>Total</w:t>
            </w: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1,274</w:t>
            </w:r>
          </w:p>
        </w:tc>
        <w:tc>
          <w:tcPr>
            <w:tcW w:w="100" w:type="dxa"/>
            <w:vAlign w:val="bottom"/>
          </w:tcPr>
          <w:p>
            <w:pPr>
              <w:spacing w:after="0"/>
              <w:rPr>
                <w:sz w:val="14"/>
                <w:szCs w:val="14"/>
                <w:color w:val="auto"/>
              </w:rPr>
            </w:pPr>
          </w:p>
        </w:tc>
        <w:tc>
          <w:tcPr>
            <w:tcW w:w="940" w:type="dxa"/>
            <w:vAlign w:val="bottom"/>
            <w:tcBorders>
              <w:top w:val="single" w:sz="8" w:color="auto"/>
            </w:tcBorders>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6"/>
              </w:rPr>
              <w:t>27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6"/>
        </w:trPr>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3"/>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180"/>
              <w:spacing w:after="0" w:line="129" w:lineRule="exact"/>
              <w:rPr>
                <w:sz w:val="20"/>
                <w:szCs w:val="20"/>
                <w:color w:val="auto"/>
              </w:rPr>
            </w:pPr>
            <w:r>
              <w:rPr>
                <w:rFonts w:ascii="Times New Roman" w:cs="Times New Roman" w:eastAsia="Times New Roman" w:hAnsi="Times New Roman"/>
                <w:sz w:val="13"/>
                <w:szCs w:val="13"/>
                <w:b w:val="1"/>
                <w:bCs w:val="1"/>
                <w:color w:val="auto"/>
                <w:w w:val="97"/>
              </w:rPr>
              <w:t>Our Portion of</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left="137"/>
              <w:spacing w:after="0" w:line="129" w:lineRule="exact"/>
              <w:rPr>
                <w:sz w:val="20"/>
                <w:szCs w:val="20"/>
                <w:color w:val="auto"/>
              </w:rPr>
            </w:pPr>
            <w:r>
              <w:rPr>
                <w:rFonts w:ascii="Times New Roman" w:cs="Times New Roman" w:eastAsia="Times New Roman" w:hAnsi="Times New Roman"/>
                <w:sz w:val="13"/>
                <w:szCs w:val="13"/>
                <w:b w:val="1"/>
                <w:bCs w:val="1"/>
                <w:color w:val="auto"/>
                <w:w w:val="95"/>
              </w:rPr>
              <w:t>Distributions</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Ownership Interests</w:t>
            </w: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Our Investment</w:t>
            </w:r>
          </w:p>
        </w:tc>
        <w:tc>
          <w:tcPr>
            <w:tcW w:w="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Total Debt</w:t>
            </w:r>
          </w:p>
        </w:tc>
        <w:tc>
          <w:tcPr>
            <w:tcW w:w="100" w:type="dxa"/>
            <w:vAlign w:val="bottom"/>
            <w:tcBorders>
              <w:bottom w:val="single" w:sz="8" w:color="CFF0FC"/>
            </w:tcBorders>
          </w:tcPr>
          <w:p>
            <w:pPr>
              <w:spacing w:after="0"/>
              <w:rPr>
                <w:sz w:val="17"/>
                <w:szCs w:val="17"/>
                <w:color w:val="auto"/>
              </w:rPr>
            </w:pPr>
          </w:p>
        </w:tc>
        <w:tc>
          <w:tcPr>
            <w:tcW w:w="1120" w:type="dxa"/>
            <w:vAlign w:val="bottom"/>
            <w:tcBorders>
              <w:bottom w:val="single" w:sz="8" w:color="auto"/>
            </w:tcBorders>
            <w:gridSpan w:val="2"/>
          </w:tcPr>
          <w:p>
            <w:pPr>
              <w:jc w:val="center"/>
              <w:spacing w:after="0" w:line="150" w:lineRule="exact"/>
              <w:rPr>
                <w:sz w:val="20"/>
                <w:szCs w:val="20"/>
                <w:color w:val="auto"/>
              </w:rPr>
            </w:pPr>
            <w:r>
              <w:rPr>
                <w:rFonts w:ascii="Times New Roman" w:cs="Times New Roman" w:eastAsia="Times New Roman" w:hAnsi="Times New Roman"/>
                <w:sz w:val="13"/>
                <w:szCs w:val="13"/>
                <w:b w:val="1"/>
                <w:bCs w:val="1"/>
                <w:color w:val="auto"/>
                <w:w w:val="95"/>
              </w:rPr>
              <w:t xml:space="preserve">received in 2024 </w:t>
            </w:r>
            <w:r>
              <w:rPr>
                <w:rFonts w:ascii="MS PGothic" w:cs="MS PGothic" w:eastAsia="MS PGothic" w:hAnsi="MS PGothic"/>
                <w:sz w:val="13"/>
                <w:szCs w:val="13"/>
                <w:color w:val="auto"/>
                <w:w w:val="95"/>
              </w:rPr>
              <w:t>⁽</w:t>
            </w:r>
            <w:r>
              <w:rPr>
                <w:rFonts w:ascii="Times New Roman" w:cs="Times New Roman" w:eastAsia="Times New Roman" w:hAnsi="Times New Roman"/>
                <w:sz w:val="13"/>
                <w:szCs w:val="13"/>
                <w:b w:val="1"/>
                <w:bCs w:val="1"/>
                <w:color w:val="auto"/>
                <w:w w:val="95"/>
              </w:rPr>
              <w:t>¹</w:t>
            </w:r>
            <w:r>
              <w:rPr>
                <w:rFonts w:ascii="MS PGothic" w:cs="MS PGothic" w:eastAsia="MS PGothic" w:hAnsi="MS PGothic"/>
                <w:sz w:val="13"/>
                <w:szCs w:val="13"/>
                <w:color w:val="auto"/>
                <w:w w:val="95"/>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326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0" w:type="dxa"/>
            <w:vAlign w:val="bottom"/>
          </w:tcPr>
          <w:p>
            <w:pPr>
              <w:spacing w:after="0"/>
              <w:rPr>
                <w:sz w:val="1"/>
                <w:szCs w:val="1"/>
                <w:color w:val="auto"/>
              </w:rPr>
            </w:pPr>
          </w:p>
        </w:tc>
      </w:tr>
      <w:tr>
        <w:trPr>
          <w:trHeight w:val="176"/>
        </w:trPr>
        <w:tc>
          <w:tcPr>
            <w:tcW w:w="1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Asia/Pacific JV</w:t>
            </w:r>
          </w:p>
        </w:tc>
        <w:tc>
          <w:tcPr>
            <w:tcW w:w="1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FF0FC"/>
            </w:tcBorders>
            <w:shd w:val="clear" w:color="auto" w:fill="CFF0FC"/>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3560" w:type="dxa"/>
            <w:vAlign w:val="bottom"/>
            <w:tcBorders>
              <w:bottom w:val="single" w:sz="8" w:color="CFF0FC"/>
            </w:tcBorders>
            <w:gridSpan w:val="5"/>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A 36% interest in seven hotels and an office building in India</w:t>
            </w:r>
          </w:p>
        </w:tc>
        <w:tc>
          <w:tcPr>
            <w:tcW w:w="0" w:type="dxa"/>
            <w:vAlign w:val="bottom"/>
          </w:tcPr>
          <w:p>
            <w:pPr>
              <w:spacing w:after="0"/>
              <w:rPr>
                <w:sz w:val="1"/>
                <w:szCs w:val="1"/>
                <w:color w:val="auto"/>
              </w:rPr>
            </w:pPr>
          </w:p>
        </w:tc>
      </w:tr>
      <w:tr>
        <w:trPr>
          <w:trHeight w:val="173"/>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Maui JV</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560" w:type="dxa"/>
            <w:vAlign w:val="bottom"/>
            <w:gridSpan w:val="5"/>
          </w:tcPr>
          <w:p>
            <w:pPr>
              <w:ind w:left="80"/>
              <w:spacing w:after="0"/>
              <w:rPr>
                <w:sz w:val="20"/>
                <w:szCs w:val="20"/>
                <w:color w:val="auto"/>
              </w:rPr>
            </w:pPr>
            <w:r>
              <w:rPr>
                <w:rFonts w:ascii="Times New Roman" w:cs="Times New Roman" w:eastAsia="Times New Roman" w:hAnsi="Times New Roman"/>
                <w:sz w:val="13"/>
                <w:szCs w:val="13"/>
                <w:color w:val="auto"/>
              </w:rPr>
              <w:t>1   131-unit vacation ownership project in Maui, HI</w:t>
            </w:r>
          </w:p>
        </w:tc>
        <w:tc>
          <w:tcPr>
            <w:tcW w:w="0" w:type="dxa"/>
            <w:vAlign w:val="bottom"/>
          </w:tcPr>
          <w:p>
            <w:pPr>
              <w:spacing w:after="0"/>
              <w:rPr>
                <w:sz w:val="1"/>
                <w:szCs w:val="1"/>
                <w:color w:val="auto"/>
              </w:rPr>
            </w:pPr>
          </w:p>
        </w:tc>
      </w:tr>
      <w:tr>
        <w:trPr>
          <w:trHeight w:val="30"/>
        </w:trPr>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Hyatt Place JV</w:t>
            </w:r>
          </w:p>
        </w:tc>
        <w:tc>
          <w:tcPr>
            <w:tcW w:w="1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3560" w:type="dxa"/>
            <w:vAlign w:val="bottom"/>
            <w:tcBorders>
              <w:bottom w:val="single" w:sz="8" w:color="CFF0FC"/>
            </w:tcBorders>
            <w:gridSpan w:val="5"/>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2   One hotel in Nashville, TN</w:t>
            </w:r>
          </w:p>
        </w:tc>
        <w:tc>
          <w:tcPr>
            <w:tcW w:w="0" w:type="dxa"/>
            <w:vAlign w:val="bottom"/>
          </w:tcPr>
          <w:p>
            <w:pPr>
              <w:spacing w:after="0"/>
              <w:rPr>
                <w:sz w:val="1"/>
                <w:szCs w:val="1"/>
                <w:color w:val="auto"/>
              </w:rPr>
            </w:pPr>
          </w:p>
        </w:tc>
      </w:tr>
      <w:tr>
        <w:trPr>
          <w:trHeight w:val="173"/>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Harbor Beach JV</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560" w:type="dxa"/>
            <w:vAlign w:val="bottom"/>
            <w:gridSpan w:val="5"/>
          </w:tcPr>
          <w:p>
            <w:pPr>
              <w:ind w:left="80"/>
              <w:spacing w:after="0"/>
              <w:rPr>
                <w:sz w:val="20"/>
                <w:szCs w:val="20"/>
                <w:color w:val="auto"/>
              </w:rPr>
            </w:pPr>
            <w:r>
              <w:rPr>
                <w:rFonts w:ascii="Times New Roman" w:cs="Times New Roman" w:eastAsia="Times New Roman" w:hAnsi="Times New Roman"/>
                <w:sz w:val="13"/>
                <w:szCs w:val="13"/>
                <w:color w:val="auto"/>
              </w:rPr>
              <w:t>5   One hotel in Fort Lauderdale, FL</w:t>
            </w:r>
          </w:p>
        </w:tc>
        <w:tc>
          <w:tcPr>
            <w:tcW w:w="0" w:type="dxa"/>
            <w:vAlign w:val="bottom"/>
          </w:tcPr>
          <w:p>
            <w:pPr>
              <w:spacing w:after="0"/>
              <w:rPr>
                <w:sz w:val="1"/>
                <w:szCs w:val="1"/>
                <w:color w:val="auto"/>
              </w:rPr>
            </w:pPr>
          </w:p>
        </w:tc>
      </w:tr>
      <w:tr>
        <w:trPr>
          <w:trHeight w:val="30"/>
        </w:trPr>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8"/>
              </w:rPr>
              <w:t>Philadelphia Marriott Downtown</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560" w:type="dxa"/>
            <w:vAlign w:val="bottom"/>
            <w:gridSpan w:val="5"/>
            <w:vMerge w:val="restart"/>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   One hotel in Philadelphia, PA</w:t>
            </w:r>
          </w:p>
        </w:tc>
        <w:tc>
          <w:tcPr>
            <w:tcW w:w="0" w:type="dxa"/>
            <w:vAlign w:val="bottom"/>
          </w:tcPr>
          <w:p>
            <w:pPr>
              <w:spacing w:after="0"/>
              <w:rPr>
                <w:sz w:val="1"/>
                <w:szCs w:val="1"/>
                <w:color w:val="auto"/>
              </w:rPr>
            </w:pPr>
          </w:p>
        </w:tc>
      </w:tr>
      <w:tr>
        <w:trPr>
          <w:trHeight w:val="180"/>
        </w:trPr>
        <w:tc>
          <w:tcPr>
            <w:tcW w:w="1740" w:type="dxa"/>
            <w:vAlign w:val="bottom"/>
            <w:shd w:val="clear" w:color="auto" w:fill="CFF0FC"/>
          </w:tcPr>
          <w:p>
            <w:pPr>
              <w:jc w:val="center"/>
              <w:ind w:right="1177"/>
              <w:spacing w:after="0"/>
              <w:rPr>
                <w:sz w:val="20"/>
                <w:szCs w:val="20"/>
                <w:color w:val="auto"/>
              </w:rPr>
            </w:pPr>
            <w:r>
              <w:rPr>
                <w:rFonts w:ascii="Times New Roman" w:cs="Times New Roman" w:eastAsia="Times New Roman" w:hAnsi="Times New Roman"/>
                <w:sz w:val="13"/>
                <w:szCs w:val="13"/>
                <w:color w:val="auto"/>
                <w:w w:val="96"/>
              </w:rPr>
              <w:t>JV</w:t>
            </w:r>
          </w:p>
        </w:tc>
        <w:tc>
          <w:tcPr>
            <w:tcW w:w="1240" w:type="dxa"/>
            <w:vAlign w:val="bottom"/>
            <w:gridSpan w:val="2"/>
            <w:vMerge w:val="continue"/>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vMerge w:val="continue"/>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vMerge w:val="continue"/>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560" w:type="dxa"/>
            <w:vAlign w:val="bottom"/>
            <w:gridSpan w:val="5"/>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Noble JV</w:t>
            </w: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Asset management and general partner of real estate fund;</w:t>
            </w: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21.15 - 49%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56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10   select-service and extended stay hotels in the United States</w:t>
            </w:r>
          </w:p>
        </w:tc>
        <w:tc>
          <w:tcPr>
            <w:tcW w:w="0" w:type="dxa"/>
            <w:vAlign w:val="bottom"/>
          </w:tcPr>
          <w:p>
            <w:pPr>
              <w:spacing w:after="0"/>
              <w:rPr>
                <w:sz w:val="1"/>
                <w:szCs w:val="1"/>
                <w:color w:val="auto"/>
              </w:rPr>
            </w:pPr>
          </w:p>
        </w:tc>
      </w:tr>
      <w:tr>
        <w:trPr>
          <w:trHeight w:val="191"/>
        </w:trPr>
        <w:tc>
          <w:tcPr>
            <w:tcW w:w="1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Fifth Wall Ventures</w:t>
            </w:r>
          </w:p>
        </w:tc>
        <w:tc>
          <w:tcPr>
            <w:tcW w:w="2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FF0FC"/>
            </w:tcBorders>
            <w:shd w:val="clear" w:color="auto" w:fill="CFF0FC"/>
          </w:tcPr>
          <w:p>
            <w:pPr>
              <w:spacing w:after="0"/>
              <w:rPr>
                <w:sz w:val="16"/>
                <w:szCs w:val="16"/>
                <w:color w:val="auto"/>
              </w:rPr>
            </w:pPr>
          </w:p>
        </w:tc>
        <w:tc>
          <w:tcPr>
            <w:tcW w:w="3560" w:type="dxa"/>
            <w:vAlign w:val="bottom"/>
            <w:tcBorders>
              <w:bottom w:val="single" w:sz="8" w:color="CFF0FC"/>
            </w:tcBorders>
            <w:gridSpan w:val="5"/>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Real estate industry technology investment</w:t>
            </w:r>
          </w:p>
        </w:tc>
        <w:tc>
          <w:tcPr>
            <w:tcW w:w="0" w:type="dxa"/>
            <w:vAlign w:val="bottom"/>
          </w:tcPr>
          <w:p>
            <w:pPr>
              <w:spacing w:after="0"/>
              <w:rPr>
                <w:sz w:val="1"/>
                <w:szCs w:val="1"/>
                <w:color w:val="auto"/>
              </w:rPr>
            </w:pPr>
          </w:p>
        </w:tc>
      </w:tr>
      <w:tr>
        <w:trPr>
          <w:trHeight w:val="173"/>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investments</w:t>
            </w: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5"/>
                <w:szCs w:val="15"/>
                <w:color w:val="auto"/>
              </w:rPr>
            </w:pPr>
          </w:p>
        </w:tc>
        <w:tc>
          <w:tcPr>
            <w:tcW w:w="356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174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22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326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740" w:type="dxa"/>
            <w:vAlign w:val="bottom"/>
            <w:tcBorders>
              <w:bottom w:val="single" w:sz="8" w:color="CFF0FC"/>
            </w:tcBorders>
            <w:shd w:val="clear" w:color="auto" w:fill="CFF0FC"/>
          </w:tcPr>
          <w:p>
            <w:pPr>
              <w:jc w:val="center"/>
              <w:ind w:right="1137"/>
              <w:spacing w:after="0"/>
              <w:rPr>
                <w:sz w:val="20"/>
                <w:szCs w:val="20"/>
                <w:color w:val="auto"/>
              </w:rPr>
            </w:pPr>
            <w:r>
              <w:rPr>
                <w:rFonts w:ascii="Times New Roman" w:cs="Times New Roman" w:eastAsia="Times New Roman" w:hAnsi="Times New Roman"/>
                <w:sz w:val="13"/>
                <w:szCs w:val="13"/>
                <w:color w:val="auto"/>
                <w:w w:val="94"/>
              </w:rPr>
              <w:t>Total</w:t>
            </w:r>
          </w:p>
        </w:tc>
        <w:tc>
          <w:tcPr>
            <w:tcW w:w="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1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2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4881245</wp:posOffset>
            </wp:positionH>
            <wp:positionV relativeFrom="paragraph">
              <wp:posOffset>-3272790</wp:posOffset>
            </wp:positionV>
            <wp:extent cx="80645" cy="685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0645" cy="68580"/>
                    </a:xfrm>
                    <a:prstGeom prst="rect">
                      <a:avLst/>
                    </a:prstGeom>
                    <a:noFill/>
                  </pic:spPr>
                </pic:pic>
              </a:graphicData>
            </a:graphic>
          </wp:anchor>
        </w:drawing>
        <w:drawing>
          <wp:anchor simplePos="0" relativeHeight="251657728" behindDoc="1" locked="0" layoutInCell="0" allowOverlap="1">
            <wp:simplePos x="0" y="0"/>
            <wp:positionH relativeFrom="column">
              <wp:posOffset>4890135</wp:posOffset>
            </wp:positionH>
            <wp:positionV relativeFrom="paragraph">
              <wp:posOffset>-1489710</wp:posOffset>
            </wp:positionV>
            <wp:extent cx="80645" cy="685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0645" cy="6858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27" w:lineRule="exact"/>
        <w:rPr>
          <w:sz w:val="20"/>
          <w:szCs w:val="20"/>
          <w:color w:val="auto"/>
        </w:rPr>
      </w:pPr>
    </w:p>
    <w:p>
      <w:pPr>
        <w:ind w:left="320" w:hanging="312"/>
        <w:spacing w:after="0"/>
        <w:tabs>
          <w:tab w:leader="none" w:pos="3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received were funded by cash from operations, except for $3 million in 2025 from Fifth Wall Ventures and other investments that were considered return of capital.</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September 2025, the Asia/Pacific joint venture, in which we own a 25% interest, sold its 36% share in two separate joint ventures in India to the existing shareholders thereof, representing our exit from our Asia investment. Our portion of the net proceeds to be received is approximately INR</w:t>
      </w:r>
    </w:p>
    <w:p>
      <w:pPr>
        <w:ind w:right="380"/>
        <w:spacing w:after="0" w:line="260" w:lineRule="auto"/>
        <w:rPr>
          <w:sz w:val="20"/>
          <w:szCs w:val="20"/>
          <w:color w:val="auto"/>
        </w:rPr>
      </w:pPr>
      <w:r>
        <w:rPr>
          <w:rFonts w:ascii="Times New Roman" w:cs="Times New Roman" w:eastAsia="Times New Roman" w:hAnsi="Times New Roman"/>
          <w:sz w:val="18"/>
          <w:szCs w:val="18"/>
          <w:color w:val="auto"/>
        </w:rPr>
        <w:t>1,550 million ($17 million), and we recorded a loss on sale of approximately $1 million, which includes the reclassification of a net loss due to foreign currency translation of $7 million that had been recognized previously in other comprehensive income (loss).</w:t>
      </w:r>
    </w:p>
    <w:p>
      <w:pPr>
        <w:spacing w:after="0" w:line="7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part of our investment in the Noble JV, we have made a $211.5 million capital commitment to Noble Hospitality Fund V, L.P. ("Noble Fund V"), which represents a 21.15% ownership interest in the fund. As of December 31, 2025, we have invested $144 million in this fund. Additionally, through a co-investment of the fund, we have committed an additional $30 million of which we have funded $29 million. During 2025, Noble Fund V reached certain milestones under which we paid an additional $26 million to Noble Investment Group, LLC, as part of our initial agreement, through a combination of cash and Host L.P. OP units. In December 2025, we entered into an omnibus amendment to the definitive agreements with the Noble parties, under which, amongst other items, we made a commitment to fund an amount equal to 10% of Noble Hospitality Fund VI, L.P. (“Noble Fund VI”), regardless of the ultimate size of Noble Fund VI.</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Additionally, under the omnibus agreement, the previous put right of Noble Investment Group, LLC and our call right that would have been enabled in 2026 upon certain triggers being met, has been replaced with an exercise window in 2030 under which we have the ability to acquire up to 100% of Noble Management Holdings, LLC and Noble Investment Holdings, LLC. If we do not exercise our call right, Noble Investment Group, LLC has a one-time ability, but not the obligation, to exercise a put right to cause us to purchase up to an additional 26% of Noble Management Holdings, LLC and Noble Investment Holdings, LLC at a fixed price of $56 million.</w:t>
      </w:r>
    </w:p>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Debt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consists of the following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0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00" w:type="dxa"/>
            <w:vAlign w:val="bottom"/>
          </w:tcPr>
          <w:p>
            <w:pPr>
              <w:spacing w:after="0"/>
              <w:rPr>
                <w:sz w:val="16"/>
                <w:szCs w:val="16"/>
                <w:color w:val="auto"/>
              </w:rPr>
            </w:pPr>
          </w:p>
        </w:tc>
      </w:tr>
      <w:tr>
        <w:trPr>
          <w:trHeight w:val="23"/>
        </w:trPr>
        <w:tc>
          <w:tcPr>
            <w:tcW w:w="84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6"/>
        </w:trPr>
        <w:tc>
          <w:tcPr>
            <w:tcW w:w="8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r>
      <w:tr>
        <w:trPr>
          <w:trHeight w:val="23"/>
        </w:trPr>
        <w:tc>
          <w:tcPr>
            <w:tcW w:w="842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E senior notes, with a rate of 4% due June 2025</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5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F senior notes, with a rate of 4½% due February 2026</w:t>
            </w:r>
          </w:p>
        </w:tc>
        <w:tc>
          <w:tcPr>
            <w:tcW w:w="82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63"/>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H senior notes, with a rate of 3⅜% due December 2029</w:t>
            </w:r>
          </w:p>
        </w:tc>
        <w:tc>
          <w:tcPr>
            <w:tcW w:w="8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5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I senior notes, with a rate of 3½% due September 2030</w:t>
            </w:r>
          </w:p>
        </w:tc>
        <w:tc>
          <w:tcPr>
            <w:tcW w:w="8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63"/>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J senior notes, with a rate of 2.9% due December 2031</w:t>
            </w:r>
          </w:p>
        </w:tc>
        <w:tc>
          <w:tcPr>
            <w:tcW w:w="8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5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K senior notes, with a rate of 5.7% due July 2034</w:t>
            </w:r>
          </w:p>
        </w:tc>
        <w:tc>
          <w:tcPr>
            <w:tcW w:w="8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63"/>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L senior notes, with a rate of 5.5% due April 2035</w:t>
            </w:r>
          </w:p>
        </w:tc>
        <w:tc>
          <w:tcPr>
            <w:tcW w:w="8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5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M senior notes, with a rate of 5.7% due June 2032</w:t>
            </w:r>
          </w:p>
        </w:tc>
        <w:tc>
          <w:tcPr>
            <w:tcW w:w="8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N senior notes, with a rate of 4.25% due December 2028</w:t>
            </w:r>
          </w:p>
        </w:tc>
        <w:tc>
          <w:tcPr>
            <w:tcW w:w="82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senior notes</w:t>
            </w:r>
          </w:p>
        </w:tc>
        <w:tc>
          <w:tcPr>
            <w:tcW w:w="8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3,993</w:t>
            </w:r>
          </w:p>
        </w:tc>
      </w:tr>
      <w:tr>
        <w:trPr>
          <w:trHeight w:val="263"/>
        </w:trPr>
        <w:tc>
          <w:tcPr>
            <w:tcW w:w="842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Credit facility revolver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8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 term loan due January 2027</w:t>
            </w:r>
          </w:p>
        </w:tc>
        <w:tc>
          <w:tcPr>
            <w:tcW w:w="8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63"/>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facility term loan due January 2028</w:t>
            </w:r>
          </w:p>
        </w:tc>
        <w:tc>
          <w:tcPr>
            <w:tcW w:w="8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11"/>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and other debt, with an average interest rate of 4.67% at both December 31, 2025 and 2024, maturing</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41"/>
        </w:trPr>
        <w:tc>
          <w:tcPr>
            <w:tcW w:w="84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through November 2027</w:t>
            </w:r>
          </w:p>
        </w:tc>
        <w:tc>
          <w:tcPr>
            <w:tcW w:w="8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81"/>
        </w:trPr>
        <w:tc>
          <w:tcPr>
            <w:tcW w:w="84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5,083</w:t>
            </w:r>
          </w:p>
        </w:tc>
      </w:tr>
      <w:tr>
        <w:trPr>
          <w:trHeight w:val="20"/>
        </w:trPr>
        <w:tc>
          <w:tcPr>
            <w:tcW w:w="84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w:t>
      </w:r>
    </w:p>
    <w:p>
      <w:pPr>
        <w:spacing w:after="0" w:line="19" w:lineRule="exact"/>
        <w:rPr>
          <w:sz w:val="20"/>
          <w:szCs w:val="20"/>
          <w:color w:val="auto"/>
        </w:rPr>
      </w:pPr>
    </w:p>
    <w:p>
      <w:pPr>
        <w:ind w:left="640" w:hanging="632"/>
        <w:spacing w:after="0"/>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outstanding credit facility borrowings at December 31, 2025 or 2024. Amount shown represents deferred financing costs related to the credit facility revolver.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58" w:lineRule="exact"/>
        <w:rPr>
          <w:sz w:val="20"/>
          <w:szCs w:val="20"/>
          <w:color w:val="auto"/>
        </w:rPr>
      </w:pPr>
    </w:p>
    <w:p>
      <w:pPr>
        <w:ind w:right="26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Under the terms of our senior notes indenture, our senior notes are equal in right of payment with all our unsubordinated indebtedness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senior to all our subordinated obligations. The face amounts of our senior notes at both December 31, 2025 and 2024 were $4.1 billion. The senior notes balances as of December 31, 2025 and 2024 are net of unamortized discounts and deferred financing costs of approximately $64 million and $57 million, respectively. We pay</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each series of our senior notes semi-annually in arrears at the respective annual rates indicated in the table above.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terms of the senior notes indenture, our ability to incur indebtedness is subject to restrictions and the satisfaction of various conditions.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are in compliance with all of these covenants.</w:t>
      </w:r>
    </w:p>
    <w:p>
      <w:pPr>
        <w:spacing w:after="0" w:line="207"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On May 20, 2025, we issued $500 million of 5.7% Series M senior notes in an underwritten public offering for proceeds of approximately $490 million, net of de minimis original issue discount, underwriting fees and other expenses. The Series M senior notes are due in June 2032, and interest is payable semi-annually in arrears on June 15 and December 15 of each year, commencing December 15, 2025. The net proceeds were used to redeem all $500 million of Series E senior notes due in June 2025. The Series M senior notes are not redeemable prior to 60 days before the June 15, 2032 maturity date, except at a price equal to 100% of their principal amount plus a make-whole premium and accrued and unpaid interest to the applicable redemption date. The Series M senior notes have covenants similar to all other series of our outstanding senior notes.</w:t>
      </w:r>
    </w:p>
    <w:p>
      <w:pPr>
        <w:spacing w:after="0" w:line="18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On November 26, 2025, we issued $400 million of 4.25% Series N senior notes in an underwritten public offering for proceeds of approximately $395 million, net of de minimis original issue discount, underwriting fees and other expenses. The Series N senior notes are due in December 2028, and interest is payable semi-annually in arrears on June 15 and December 15 of each year, commencing June 15, 2026. The net proceeds were used to redeem all $400 million of Series F senior notes due in February 2026. The Series N senior notes are not redeemable prior to 30 days before the December 15,</w:t>
      </w:r>
    </w:p>
    <w:p>
      <w:pPr>
        <w:spacing w:after="0" w:line="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2028 maturity date, except at a price equal to 100% of their principal amount plus a make-whole premium and accrued and unpaid interest to the applicable redemption date. The Series N senior notes have covenants similar to all other series of our outstanding senior notes.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1, 2024, we repaid our $400 million 3⅞% Series G senior notes at maturity.</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May 10, 2024, we issued $600 million of 5.700% Series K senior notes in an underwritten public offering for proceeds of $584 million, net of original issue discount, underwriting fees and expenses. The Series K senior notes are due in July 2034, and interest is payable semi-annually in arrears on January 1 and July 1, commencing January 1, 2025. The Series K senior notes were issued as a “green bond,” and we allocated an amount equal to the net proceeds from the sale of the Series K senior notes to finance and/or refinance one or more eligible green projects, including the April 2024 acquisition of the 1 Hotel Nashville and Embassy Suites by Nashville Downtown, each of which has received LEED Silver certification. Following the allocation to eligible green projects, the net proceeds of this issuance were used to repay all $215 million of borrowings that were outstanding under the revolver portion of our credit facility at that time. The Series K senior notes are not redeemable prior to 90 days before the July 1, 2034 maturity date, except at a price equal to 100% of their principal amount plus a make-whole premium and accrued and unpaid interest to the applicable redemption date. The Series K senior notes have covenants similar to all other series of our outstanding senior notes.</w:t>
      </w:r>
    </w:p>
    <w:p>
      <w:pPr>
        <w:spacing w:after="0" w:line="18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August 12, 2024, we issued $700 million of 5.500% Series L senior notes in an underwritten public offering for proceeds of approximately $683 million, net of original issue discount, underwriting fees and expenses. The Series L senior notes are due in April 2035 and interest is payable semi-annually in arrears on April 15 and October 15 of each year, commencing April 15, 2025. The net proceeds were used in part to repay all $525 million of borrowings then outstanding under the revolver portion of our credit facility, including amounts borrowed during the third quarter of 2024 in connection with the acquisitions of The Ritz-Carlton O’ahu, Turtle Bay and 1 Hotel Central Park. The Series L senior notes are not redeemable prior to 90 days before the April 15, 2035 maturity date, except at a price equal to 100% of their principal amount plus a make-whole premium and accrued and unpaid interest to the applicable redemption date. The Series L senior notes have covenants similar to all other series of our outstanding senior notes.</w:t>
      </w:r>
    </w:p>
    <w:p>
      <w:pPr>
        <w:spacing w:after="0" w:line="185"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Authorization for Repurchase of Senior Notes. </w:t>
      </w:r>
      <w:r>
        <w:rPr>
          <w:rFonts w:ascii="Times New Roman" w:cs="Times New Roman" w:eastAsia="Times New Roman" w:hAnsi="Times New Roman"/>
          <w:sz w:val="18"/>
          <w:szCs w:val="18"/>
          <w:color w:val="auto"/>
        </w:rPr>
        <w:t>In February 2026, Host Inc.’s Board of Directors authorized repurchases of up to $1 billion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notes (other than in accordance with their terms) through February 2030. No repurchases occurred in 2025.</w:t>
      </w:r>
    </w:p>
    <w:p>
      <w:pPr>
        <w:spacing w:after="0" w:line="155" w:lineRule="exact"/>
        <w:rPr>
          <w:sz w:val="20"/>
          <w:szCs w:val="20"/>
          <w:color w:val="auto"/>
        </w:rPr>
      </w:pPr>
    </w:p>
    <w:p>
      <w:pPr>
        <w:ind w:right="26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Facility. </w:t>
      </w:r>
      <w:r>
        <w:rPr>
          <w:rFonts w:ascii="Times New Roman" w:cs="Times New Roman" w:eastAsia="Times New Roman" w:hAnsi="Times New Roman"/>
          <w:sz w:val="18"/>
          <w:szCs w:val="18"/>
          <w:color w:val="auto"/>
        </w:rPr>
        <w:t>On January 4, 2023, we entered into the sixth amended and restated senior revolving credit and term loan facility, with Bank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 N.A., as administrative agent, Wells Fargo Bank, N.A. and JPMorgan Chase Bank, N.A. as co-syndication agents, and certain other agents and lenders. The credit facility allows for revolving borrowings in an aggregate principal amount of up to $1.5 billion. The revolver also includes a foreign currency subfacility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Canadian dollars, Australian dollars, Euros, British pounds sterling and, if available to the lenders, Mexican pesos, of up to the foreign currency equivalent of $500 million, subject to a lower amount in the case of Mexican peso borrowings. The credit facility also provides for a term loan facility of $1 billion (which is fully utilized), a subfacility of up to $100 million for swingline borrowings in currencies other than U.S. dollars and a subfacility of up to $100 million for issuances of letters of credit. Host L.P. also has the option to add in the future $500 million of commitments which may be used for additional revolving credit facility borrowings and/or term loans, subject to obtaining additional loan commitments (which we have not currently obtained) and the satisfaction of certain conditions.</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revolving credit facility has an initial scheduled maturity date of January 4, 2027, which date may be extended by up to a year by the exercise of either a 1-year extension option or two 6-month extension options, each of which is subject to certain conditions, including the payment of an extension fee and the accuracy of representations and warranties. One $500 million term loan tranche has an initial maturity date of January 4, 2027, which date may be extended up to a year by the exercise of one 1-year extension option, which is subject to certain conditions, including the payment of an extension fee; and the second $500 million term loan tranche has a maturity date of January 4, 2028, which date may not be extended.</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amendment also converted the underlying reference rate from LIBOR to SOFR. We pay interest on U.S. dollar revolver borrowings under the credit facility at floating rates equal to SOFR plus a margin ranging from 72.5 to 140 basis points (depending on Host L.P.’s unsecured long-term debt rating). We also pay a facility fee on the total $1.5 billion revolver commitment ranging from 12.5 to 30 basis points, depending on our rating and regardless of usage. The credit facility includes a sustainability pricing adjustment that can result in a change in the interest rate applicable to borrowings. The adjustment can result in an increase or decrease of the interest rate for revolving loans of up to 4 basis points and an increase or decrease of the facility fee of up to 1 basis point. In the case of the term loans, the adjustment can result in an increase or decrease of the interest rate applicable of up to 5 basis points. The adjustments will be determined annually on the basis of an annual audited report of Host L.P.’s performance against targets established in the credit facility for (1) the percentage of our consolidated portfolio with green building certifications and (2) the percentage of electricity used at all our consolidated properties that is generated by renewable resources. Effective June 26, 2024, we achieved a milestone in the progress towards both of our targets, resulting in the maximum benefit of the basis point reduction in the interest rate on borrowings under the credit facility, and confirmed this milestone in 2025. Based on Host L.P.’s unsecured long-term debt rating as of December 31, 2025, we are able to borrow on the revolver at a rate of SOFR plus 85 basis points less 4 basis points for meeting sustainability milestones for an all-in rate of 4.53% and pay a facility fee of 19 basis points.</w:t>
      </w:r>
    </w:p>
    <w:p>
      <w:pPr>
        <w:spacing w:after="0" w:line="190" w:lineRule="exact"/>
        <w:rPr>
          <w:sz w:val="20"/>
          <w:szCs w:val="20"/>
          <w:color w:val="auto"/>
        </w:rPr>
      </w:pPr>
    </w:p>
    <w:p>
      <w:pPr>
        <w:ind w:right="240" w:firstLine="648"/>
        <w:spacing w:after="0" w:line="272" w:lineRule="auto"/>
        <w:rPr>
          <w:sz w:val="20"/>
          <w:szCs w:val="20"/>
          <w:color w:val="auto"/>
        </w:rPr>
      </w:pPr>
      <w:r>
        <w:rPr>
          <w:rFonts w:ascii="Times New Roman" w:cs="Times New Roman" w:eastAsia="Times New Roman" w:hAnsi="Times New Roman"/>
          <w:sz w:val="17"/>
          <w:szCs w:val="17"/>
          <w:color w:val="auto"/>
        </w:rPr>
        <w:t>Interest on the term loans consists of floating rates equal to SOFR plus a margin ranging from 80 to 160 basis points (depending on Host L.P.’s unsecured long-term debt rating) and adjusted for sustainability pricing. Based on Host L.P.’s long-term debt rating as of December 31, 2025, our applicable margin on SOFR loans under both term loans is 95 basis points less 5 basis points for meeting sustainability milestones, for an all-in rate of</w:t>
      </w:r>
    </w:p>
    <w:p>
      <w:pPr>
        <w:spacing w:after="0" w:line="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4.62%. We also may elect to pay interest on revolver and term loan borrowings using a base rate plus a margin that is similarly determined based on Host L.P.’s unsecured long-term debt rating.</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we have $1.5 billion of available capacity under the revolver portion of our credit facility.</w:t>
      </w:r>
    </w:p>
    <w:p>
      <w:pPr>
        <w:spacing w:after="0" w:line="221"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Financial Covenants</w:t>
      </w:r>
      <w:r>
        <w:rPr>
          <w:rFonts w:ascii="Times New Roman" w:cs="Times New Roman" w:eastAsia="Times New Roman" w:hAnsi="Times New Roman"/>
          <w:sz w:val="18"/>
          <w:szCs w:val="18"/>
          <w:color w:val="auto"/>
        </w:rPr>
        <w:t>. The credit facility contains covenants concerning allowable leverage, fixed charge coverage and unsecured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coverage (as defined in our credit facility). We are permitted to borrow and maintain amounts outstanding under the credit facility so long as our ratio of consolidated total debt to consolidated EBITDA (“leverage ratio”) is not in excess of 7.25x, our unsecured coverage ratio is not less than 1.75x and our fixed charge coverage ratio is not less than 1.25x. These calculations are performed based on pro forma results for the prior four fiscal quarters, giving effect to transactions such as acquisitions, dispositions and financings as if they had occurred at the beginning of the period. Under the terms of the credit facility, interest expense excludes items such as gains and losses on the extinguishment of debt, deferred financing costs related to the senior notes or the credit facility, and non-cash interest expense, all of which are or have been included in interest expense on our consolidated statements of operations. Additionally, total debt used in the calculation of our leverage ratio is based on a “net debt” concept, under which cash and cash equivalents in excess of $100 million are deducted from our total debt balance. As of December 31, 2025, we are in compliance with all of these covenants.</w:t>
      </w: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Guarantees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credit facility requires all Host L.P. subsidiaries which guarantee Host L.P. debt to similarly guarantee obligations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facility. Currently, there are no such guarantees.</w:t>
      </w:r>
    </w:p>
    <w:p>
      <w:pPr>
        <w:spacing w:after="0" w:line="15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Other Covenants and Events of Default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credit facility contains restrictive covenants on customary matters. Certain covenants are 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restrictive at any time that our leverage ratio is below 6.0x. At any time that our leverage ratio is below 6.0x, acquisitions, investments and dividends generally are permitted except where they would result in a breach of the financial covenants, calculated on a pro forma basis. Additionally, the credit facility’s restrictions on the incurrence of debt incorporate the same financial covenant as set forth in our senior notes indenture. Our senior notes and credit facility have cross default provisions that would trigger a default under those agreements if we were to have a payment default or an acceleration prior to maturity of other debt of Host L.P. or its subsidiaries. The amount of other debt in default needs to exceed certain thresholds in order to trigger a cross default and the thresholds are greater for secured debt than for unsecured debt. The credit facility also includes usual and customary events of default for facilities of this nature, and provides that, upon the occurrence and continuance of an event of default, payment of all amounts due under the credit facility may be accelerated, and the lenders’ commitments may be terminated. In addition, upon the occurrence of certain insolvency or bankruptcy related events of default, all amounts owed under the credit facility will become due and payable and the lenders’ commitments will terminate.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Debt</w:t>
      </w:r>
    </w:p>
    <w:p>
      <w:pPr>
        <w:spacing w:after="0" w:line="12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mortgage debt is recourse solely to specific assets, except for environmental liabilities, fraud, misapplication of funds and other customary recourse provisions. As of December 31, 2025, we have mortgage debt secured by one asset, with an interest rate of 4.67%, which mortgage debt matures in November 2027. The loan is amortizing, with principal and interest payable monthly. As of December 31, 2025, we are in compliance with the covenants under our mortgage debt obligation. We made mortgage debt repayments of $2 million in each of 2025 and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Debt Maturities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Aggregate debt maturities, including principal amortization, are as follows (in millions):</w:t>
            </w: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35"/>
        </w:trPr>
        <w:tc>
          <w:tcPr>
            <w:tcW w:w="8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3"/>
        </w:trPr>
        <w:tc>
          <w:tcPr>
            <w:tcW w:w="856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50"/>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63"/>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FF0FC"/>
          </w:tcPr>
          <w:p>
            <w:pPr>
              <w:spacing w:after="0"/>
              <w:rPr>
                <w:sz w:val="22"/>
                <w:szCs w:val="22"/>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5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63"/>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FF0FC"/>
          </w:tcPr>
          <w:p>
            <w:pPr>
              <w:spacing w:after="0"/>
              <w:rPr>
                <w:sz w:val="22"/>
                <w:szCs w:val="22"/>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50"/>
        </w:trPr>
        <w:tc>
          <w:tcPr>
            <w:tcW w:w="85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57"/>
        </w:trPr>
        <w:tc>
          <w:tcPr>
            <w:tcW w:w="85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5,144</w:t>
            </w:r>
          </w:p>
        </w:tc>
      </w:tr>
      <w:tr>
        <w:trPr>
          <w:trHeight w:val="25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36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7"/>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discounts, net</w:t>
            </w:r>
          </w:p>
        </w:tc>
        <w:tc>
          <w:tcPr>
            <w:tcW w:w="360" w:type="dxa"/>
            <w:vAlign w:val="bottom"/>
            <w:tcBorders>
              <w:bottom w:val="single" w:sz="8" w:color="auto"/>
            </w:tcBorders>
            <w:shd w:val="clear" w:color="auto" w:fill="CFF0FC"/>
          </w:tcPr>
          <w:p>
            <w:pPr>
              <w:spacing w:after="0"/>
              <w:rPr>
                <w:sz w:val="22"/>
                <w:szCs w:val="22"/>
                <w:color w:val="auto"/>
              </w:rPr>
            </w:pPr>
          </w:p>
        </w:tc>
        <w:tc>
          <w:tcPr>
            <w:tcW w:w="2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57"/>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w:t>
            </w:r>
          </w:p>
        </w:tc>
      </w:tr>
      <w:tr>
        <w:trPr>
          <w:trHeight w:val="20"/>
        </w:trPr>
        <w:tc>
          <w:tcPr>
            <w:tcW w:w="8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between interest expense and cash interest paid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80" w:type="dxa"/>
            <w:vAlign w:val="bottom"/>
            <w:gridSpan w:val="5"/>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r>
      <w:tr>
        <w:trPr>
          <w:trHeight w:val="23"/>
        </w:trPr>
        <w:tc>
          <w:tcPr>
            <w:tcW w:w="6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696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9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5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premiums/discounts, net</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2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losses on debt extinguishment</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accrued interest</w:t>
            </w:r>
          </w:p>
        </w:tc>
        <w:tc>
          <w:tcPr>
            <w:tcW w:w="920" w:type="dxa"/>
            <w:vAlign w:val="bottom"/>
            <w:tcBorders>
              <w:bottom w:val="single" w:sz="8" w:color="auto"/>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69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Interest paid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0"/>
        </w:trPr>
        <w:tc>
          <w:tcPr>
            <w:tcW w:w="69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55" w:lineRule="exact"/>
        <w:rPr>
          <w:sz w:val="20"/>
          <w:szCs w:val="20"/>
          <w:color w:val="auto"/>
        </w:rPr>
      </w:pPr>
    </w:p>
    <w:p>
      <w:pPr>
        <w:ind w:left="640" w:hanging="632"/>
        <w:spacing w:after="0"/>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capitalized interest of $16 million in 2025 and $10 million in each of 2024 and 2023.</w:t>
      </w:r>
    </w:p>
    <w:p>
      <w:pPr>
        <w:spacing w:after="0" w:line="231" w:lineRule="exact"/>
        <w:rPr>
          <w:sz w:val="20"/>
          <w:szCs w:val="20"/>
          <w:color w:val="auto"/>
        </w:rPr>
      </w:pPr>
    </w:p>
    <w:p>
      <w:pPr>
        <w:ind w:right="7560" w:firstLine="8"/>
        <w:spacing w:after="0" w:line="377" w:lineRule="auto"/>
        <w:tabs>
          <w:tab w:leader="none" w:pos="315"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of Host Inc. and Capital of Host L.P. Equity of Host Inc.</w:t>
      </w:r>
    </w:p>
    <w:p>
      <w:pPr>
        <w:spacing w:after="0" w:line="2"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Host Inc. has authorized 1,050 million shares of common stock, with a par value of $0.01 per share, of which 687.8 million and 699.1 million were outstanding as of December 31, 2025 and 2024, respectively. Fifty million shares of no par value preferred stock are authorized; none of such preferred shares was outstanding as of December 31,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of Host L.P.</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Host Inc. is the owner of approximately 99% of Host L.P.’s common OP units. The remaining common OP units are owned by unaffiliated limited partners. Each common OP unit may be redeemed for cash or, at the election of Host Inc., Host Inc. common stock, based on the conversion ratio of 1.021494 shares of Host Inc. common stock for each OP unit. In exchange for any shares issued by Host Inc., Host L.P. will issue common OP units based on the applicable conversion ratio. As of December 31, 2025 and 2024, Host L.P. had 682.8 million and 693.6 million OP units outstanding, respectively, of which Host Inc. held 673.3 million and 684.4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and Issuances of Common Stock and Common OP Units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3, 2022, Host Inc.'s Board of Directors authorized an increase in our share repurchase program from the existing $371 million remaining under the prior Board authorization to $1 billion. In 2025, we repurchased 13.1 million shares at an average price of $15.68 per share, exclusive of commissions, for a total of $205 million. In 2024, we repurchased 6.3 million shares at an average price of $16.99 per share, exclusive of commissions, for a total of $107 million. As of December 31, 2025, we have $480 million available for repurchase under the program.</w:t>
      </w:r>
    </w:p>
    <w:p>
      <w:pPr>
        <w:spacing w:after="0" w:line="7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May 31, 2023, we entered into a distribution agreement with J. P. Morgan Securities LLC, BofA Securities, Inc., Goldman Sachs &amp; Co. LLC, Jefferies LLC, Morgan Stanley &amp; Co. LLC, Scotia Capital (USA) Inc., Truist Securities, Inc. and Wells Fargo Securities, LLC, as sales agents pursuant to which Host Inc. may offer and sell, from time to time, shares of Host Inc. common stock having an aggregate offering price of up to $600 million. The sales will be made in transactions that are deemed to be “at the market” offerings under the SEC rules. We may sell shares of Host Inc. common stock under this program from time to time based on market conditions, although we are not under an obligation to sell any shares. The agreement also contemplates that, in addition to the offering and sale of shares to or through the sales agents, we may enter into separate forward sale agreements with each of the forward purchasers named in the agreement. There have been no shares issued in 2025 and 2024. As of December 31, 2025, there was $600 million of remaining capacity under the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Dividends/Distributions</w:t>
      </w:r>
    </w:p>
    <w:p>
      <w:pPr>
        <w:spacing w:after="0" w:line="12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Host Inc. is required to distribute at least 90% of its annual taxable income, excluding net capital gains, to its stockholders in order to maintain its qualification as a REIT. Funds used by Host Inc. to pay dividends on its common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are provided by distributions from Host L.P. The amount of any future dividends will be determined by Host Inc.’s Board of Directors.</w:t>
      </w:r>
    </w:p>
    <w:p>
      <w:pPr>
        <w:spacing w:after="0" w:line="18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dividends that were taxable to our stockholders in 2025 are considered 83.0% ordinary, 4.0% unrecaptured Section 1250 gain, and 13.0% long term capital gain. The dividends that were taxable to our stockholders in 2024 are considered 100.0% ordinary. The 2025 and 2024 ordinary dividends are eligible for the 20% deduction provided by Section 199A. The table below presents the amount of common dividends declared per share and common distributions per unit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9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69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96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4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OP units</w:t>
            </w:r>
          </w:p>
        </w:tc>
        <w:tc>
          <w:tcPr>
            <w:tcW w:w="8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0.919</w:t>
            </w:r>
          </w:p>
        </w:tc>
      </w:tr>
    </w:tbl>
    <w:p>
      <w:pPr>
        <w:spacing w:after="0" w:line="30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On February 18, 2026, Host Inc.'s Board of Directors announced a regular quarterly cash dividend of $0.20 per share on its common stock. The dividend will be paid on April 15, 2026 to stockholders of record as of March 31, 2026.</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elected to be taxed as a REIT under Sections 856 through 860 of the Internal Revenue Code commencing with our taxable year beginning January 1, 1999. To continue to qualify as a REIT, we must meet a number of organizational and operational requirements, including a requirement that we distribute at least 90% of our annual taxable income to our stockholders, excluding net capital gain. As a REIT, generally we will not be subject to U.S. federal and state corporate income taxes on that portion of our annual taxable income that is distributed to our stockholders. If we fail to qualify for taxation as a REIT in any taxable year, we will be subject to U.S. federal and state corporate income taxes at regular corporate income tax rates and may not be able to qualify as a REIT for four subsequent taxable years. Even if we qualify to be treated as a REIT, we may be subject to certain state, local and foreign taxes on our income and property, and to U.S. federal and state corporate income and excise taxes on our undistributed taxable income.</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Effective July 4, 2025, the One Big Beautiful Bill Act was approved, resulting in certain changes to U.S. tax legislation that will impact us and our stockholders. Key provisions include a permanent extension of the 20% deduction for qualified REIT dividends, an increase in the REIT asset test limit for taxable REIT subsidiaries from 20% to 25%, a permanent restoration of 100% bonus depreciation on qualified property acquired after January 19, 2025, and a modification to the base on which the interest deduction limit applies by excluding depreciation, amortization and depletion from adjusted taxable income.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Set forth below is a table that documents our domestic and foreign income tax attributes at December 31, 2025: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420" w:type="dxa"/>
            <w:vAlign w:val="bottom"/>
          </w:tcPr>
          <w:p>
            <w:pPr>
              <w:spacing w:after="0"/>
              <w:rPr>
                <w:sz w:val="16"/>
                <w:szCs w:val="16"/>
                <w:color w:val="auto"/>
              </w:rPr>
            </w:pPr>
          </w:p>
        </w:tc>
        <w:tc>
          <w:tcPr>
            <w:tcW w:w="24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Amount (in millions)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Tax Year Expiration</w:t>
            </w:r>
          </w:p>
        </w:tc>
      </w:tr>
      <w:tr>
        <w:trPr>
          <w:trHeight w:val="23"/>
        </w:trPr>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50"/>
        </w:trPr>
        <w:tc>
          <w:tcPr>
            <w:tcW w:w="28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Net operating loss</w:t>
            </w:r>
          </w:p>
        </w:tc>
        <w:tc>
          <w:tcPr>
            <w:tcW w:w="284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U.S. Federal</w:t>
            </w: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FF0FC"/>
          </w:tcPr>
          <w:p>
            <w:pPr>
              <w:spacing w:after="0"/>
              <w:rPr>
                <w:sz w:val="21"/>
                <w:szCs w:val="21"/>
                <w:color w:val="auto"/>
              </w:rPr>
            </w:pPr>
          </w:p>
        </w:tc>
        <w:tc>
          <w:tcPr>
            <w:tcW w:w="2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r>
        <w:trPr>
          <w:trHeight w:val="250"/>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Capital loss</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U.S. Federal and States</w:t>
            </w:r>
          </w:p>
        </w:tc>
        <w:tc>
          <w:tcPr>
            <w:tcW w:w="42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74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rPr>
              <w:t>2028-2030</w:t>
            </w:r>
          </w:p>
        </w:tc>
      </w:tr>
      <w:tr>
        <w:trPr>
          <w:trHeight w:val="263"/>
        </w:trPr>
        <w:tc>
          <w:tcPr>
            <w:tcW w:w="28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Net operating loss</w:t>
            </w:r>
          </w:p>
        </w:tc>
        <w:tc>
          <w:tcPr>
            <w:tcW w:w="284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U.S. States</w:t>
            </w:r>
          </w:p>
        </w:tc>
        <w:tc>
          <w:tcPr>
            <w:tcW w:w="420" w:type="dxa"/>
            <w:vAlign w:val="bottom"/>
            <w:shd w:val="clear" w:color="auto" w:fill="CFF0FC"/>
          </w:tcPr>
          <w:p>
            <w:pPr>
              <w:spacing w:after="0"/>
              <w:rPr>
                <w:sz w:val="22"/>
                <w:szCs w:val="22"/>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FF0FC"/>
          </w:tcPr>
          <w:p>
            <w:pPr>
              <w:spacing w:after="0"/>
              <w:rPr>
                <w:sz w:val="22"/>
                <w:szCs w:val="22"/>
                <w:color w:val="auto"/>
              </w:rPr>
            </w:pPr>
          </w:p>
        </w:tc>
        <w:tc>
          <w:tcPr>
            <w:tcW w:w="2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r>
      <w:tr>
        <w:trPr>
          <w:trHeight w:val="250"/>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Net operating loss</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Brazil</w:t>
            </w:r>
          </w:p>
        </w:tc>
        <w:tc>
          <w:tcPr>
            <w:tcW w:w="42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r>
        <w:trPr>
          <w:trHeight w:val="263"/>
        </w:trPr>
        <w:tc>
          <w:tcPr>
            <w:tcW w:w="28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9"/>
              </w:rPr>
              <w:t>Net operating loss</w:t>
            </w:r>
          </w:p>
        </w:tc>
        <w:tc>
          <w:tcPr>
            <w:tcW w:w="284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96"/>
              </w:rPr>
              <w:t>Canada</w:t>
            </w:r>
          </w:p>
        </w:tc>
        <w:tc>
          <w:tcPr>
            <w:tcW w:w="420" w:type="dxa"/>
            <w:vAlign w:val="bottom"/>
            <w:shd w:val="clear" w:color="auto" w:fill="CFF0FC"/>
          </w:tcPr>
          <w:p>
            <w:pPr>
              <w:spacing w:after="0"/>
              <w:rPr>
                <w:sz w:val="22"/>
                <w:szCs w:val="22"/>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2"/>
                <w:szCs w:val="22"/>
                <w:color w:val="auto"/>
              </w:rPr>
            </w:pPr>
          </w:p>
        </w:tc>
        <w:tc>
          <w:tcPr>
            <w:tcW w:w="2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Through 2042</w:t>
            </w:r>
          </w:p>
        </w:tc>
      </w:tr>
      <w:tr>
        <w:trPr>
          <w:trHeight w:val="250"/>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Capital loss</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Canada</w:t>
            </w:r>
          </w:p>
        </w:tc>
        <w:tc>
          <w:tcPr>
            <w:tcW w:w="42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r>
        <w:trPr>
          <w:trHeight w:val="263"/>
        </w:trPr>
        <w:tc>
          <w:tcPr>
            <w:tcW w:w="2820" w:type="dxa"/>
            <w:vAlign w:val="bottom"/>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w w:val="99"/>
              </w:rPr>
              <w:t>General business credit</w:t>
            </w:r>
          </w:p>
        </w:tc>
        <w:tc>
          <w:tcPr>
            <w:tcW w:w="284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U.S. Federal</w:t>
            </w:r>
          </w:p>
        </w:tc>
        <w:tc>
          <w:tcPr>
            <w:tcW w:w="420" w:type="dxa"/>
            <w:vAlign w:val="bottom"/>
            <w:shd w:val="clear" w:color="auto" w:fill="CFF0FC"/>
          </w:tcPr>
          <w:p>
            <w:pPr>
              <w:spacing w:after="0"/>
              <w:rPr>
                <w:sz w:val="22"/>
                <w:szCs w:val="22"/>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2"/>
                <w:szCs w:val="22"/>
                <w:color w:val="auto"/>
              </w:rPr>
            </w:pPr>
          </w:p>
        </w:tc>
        <w:tc>
          <w:tcPr>
            <w:tcW w:w="2740" w:type="dxa"/>
            <w:vAlign w:val="bottom"/>
            <w:shd w:val="clear" w:color="auto" w:fill="CFF0FC"/>
          </w:tcPr>
          <w:p>
            <w:pPr>
              <w:jc w:val="right"/>
              <w:ind w:right="1112"/>
              <w:spacing w:after="0"/>
              <w:rPr>
                <w:sz w:val="20"/>
                <w:szCs w:val="20"/>
                <w:color w:val="auto"/>
              </w:rPr>
            </w:pPr>
            <w:r>
              <w:rPr>
                <w:rFonts w:ascii="Times New Roman" w:cs="Times New Roman" w:eastAsia="Times New Roman" w:hAnsi="Times New Roman"/>
                <w:sz w:val="18"/>
                <w:szCs w:val="18"/>
                <w:color w:val="auto"/>
              </w:rPr>
              <w:t>2044</w:t>
            </w:r>
          </w:p>
        </w:tc>
      </w:tr>
    </w:tbl>
    <w:p>
      <w:pPr>
        <w:spacing w:after="0" w:line="29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have recorded a 100% valuation allowance of approximately $5 million against the deferred tax asset related to certain of our foreign net operating loss and capital loss carryovers as of December 31, 2025. We also have recorded a valuation allowance of approximately $5 million against the deferred tax asset related to our accumulated other comprehensive income (“AOCI”) foreign exchange net losses.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primary components of our net deferred tax assets are as follows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60" w:type="dxa"/>
            <w:vAlign w:val="bottom"/>
            <w:gridSpan w:val="3"/>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2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operating losses, general business credits, and capital loss carryovers</w:t>
            </w:r>
          </w:p>
        </w:tc>
        <w:tc>
          <w:tcPr>
            <w:tcW w:w="820" w:type="dxa"/>
            <w:vAlign w:val="bottom"/>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5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domestic affiliates</w:t>
            </w:r>
          </w:p>
        </w:tc>
        <w:tc>
          <w:tcPr>
            <w:tcW w:w="82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3"/>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8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and expenses</w:t>
            </w:r>
          </w:p>
        </w:tc>
        <w:tc>
          <w:tcPr>
            <w:tcW w:w="8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7"/>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net losses (AOCI)</w:t>
            </w:r>
          </w:p>
        </w:tc>
        <w:tc>
          <w:tcPr>
            <w:tcW w:w="82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8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57"/>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82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8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FF0FC"/>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82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84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820" w:type="dxa"/>
            <w:vAlign w:val="bottom"/>
            <w:tcBorders>
              <w:top w:val="single" w:sz="8" w:color="auto"/>
              <w:bottom w:val="single" w:sz="8" w:color="auto"/>
            </w:tcBorders>
            <w:shd w:val="clear" w:color="auto" w:fill="CFF0FC"/>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920" w:type="dxa"/>
            <w:vAlign w:val="bottom"/>
            <w:tcBorders>
              <w:top w:val="single" w:sz="8" w:color="auto"/>
              <w:bottom w:val="single" w:sz="8" w:color="auto"/>
            </w:tcBorders>
            <w:shd w:val="clear" w:color="auto" w:fill="CFF0FC"/>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84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believe that it is more likely than not that the results of future operations will generate sufficient taxable income in order to realize our total deferred tax assets, net of a valuation allowance of $10 million, of $185 million.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U.S. and foreign income from continuing operations before income taxes were as follows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900" w:type="dxa"/>
            <w:vAlign w:val="bottom"/>
            <w:gridSpan w:val="9"/>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0" w:type="dxa"/>
            <w:vAlign w:val="bottom"/>
          </w:tcPr>
          <w:p>
            <w:pPr>
              <w:spacing w:after="0"/>
              <w:rPr>
                <w:sz w:val="2"/>
                <w:szCs w:val="2"/>
                <w:color w:val="auto"/>
              </w:rPr>
            </w:pPr>
          </w:p>
        </w:tc>
        <w:tc>
          <w:tcPr>
            <w:tcW w:w="2180" w:type="dxa"/>
            <w:vAlign w:val="bottom"/>
            <w:tcBorders>
              <w:bottom w:val="single" w:sz="8" w:color="CFF0FC"/>
            </w:tcBorders>
          </w:tcPr>
          <w:p>
            <w:pPr>
              <w:spacing w:after="0"/>
              <w:rPr>
                <w:sz w:val="2"/>
                <w:szCs w:val="2"/>
                <w:color w:val="auto"/>
              </w:rPr>
            </w:pPr>
          </w:p>
        </w:tc>
        <w:tc>
          <w:tcPr>
            <w:tcW w:w="334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Pr>
          <w:p>
            <w:pPr>
              <w:spacing w:after="0"/>
              <w:rPr>
                <w:sz w:val="21"/>
                <w:szCs w:val="21"/>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income</w:t>
            </w:r>
          </w:p>
        </w:tc>
        <w:tc>
          <w:tcPr>
            <w:tcW w:w="334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44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20" w:type="dxa"/>
            <w:vAlign w:val="bottom"/>
          </w:tcPr>
          <w:p>
            <w:pPr>
              <w:spacing w:after="0"/>
              <w:rPr>
                <w:sz w:val="21"/>
                <w:szCs w:val="21"/>
                <w:color w:val="auto"/>
              </w:rPr>
            </w:pPr>
          </w:p>
        </w:tc>
        <w:tc>
          <w:tcPr>
            <w:tcW w:w="2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Foreign income</w:t>
            </w:r>
          </w:p>
        </w:tc>
        <w:tc>
          <w:tcPr>
            <w:tcW w:w="3340" w:type="dxa"/>
            <w:vAlign w:val="bottom"/>
            <w:tcBorders>
              <w:bottom w:val="single" w:sz="8" w:color="CFF0FC"/>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20" w:type="dxa"/>
            <w:vAlign w:val="bottom"/>
          </w:tcPr>
          <w:p>
            <w:pPr>
              <w:spacing w:after="0"/>
              <w:rPr>
                <w:sz w:val="24"/>
                <w:szCs w:val="24"/>
                <w:color w:val="auto"/>
              </w:rPr>
            </w:pPr>
          </w:p>
        </w:tc>
        <w:tc>
          <w:tcPr>
            <w:tcW w:w="2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Borders>
              <w:bottom w:val="single" w:sz="8" w:color="CFF0FC"/>
            </w:tcBorders>
            <w:gridSpan w:val="2"/>
            <w:shd w:val="clear" w:color="auto" w:fill="CFF0FC"/>
          </w:tcPr>
          <w:p>
            <w:pPr>
              <w:spacing w:after="0"/>
              <w:rPr>
                <w:sz w:val="24"/>
                <w:szCs w:val="24"/>
                <w:color w:val="auto"/>
              </w:rPr>
            </w:pPr>
          </w:p>
        </w:tc>
        <w:tc>
          <w:tcPr>
            <w:tcW w:w="34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4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ind w:left="660"/>
              <w:spacing w:after="0"/>
              <w:rPr>
                <w:sz w:val="20"/>
                <w:szCs w:val="20"/>
                <w:color w:val="auto"/>
              </w:rPr>
            </w:pPr>
            <w:r>
              <w:rPr>
                <w:rFonts w:ascii="Times New Roman" w:cs="Times New Roman" w:eastAsia="Times New Roman" w:hAnsi="Times New Roman"/>
                <w:sz w:val="18"/>
                <w:szCs w:val="18"/>
                <w:color w:val="auto"/>
              </w:rPr>
              <w:t>Income tax provision for continuing operations consists of (in millions):</w:t>
            </w: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24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0" w:type="dxa"/>
            <w:vAlign w:val="bottom"/>
          </w:tcPr>
          <w:p>
            <w:pPr>
              <w:spacing w:after="0"/>
              <w:rPr>
                <w:sz w:val="2"/>
                <w:szCs w:val="2"/>
                <w:color w:val="auto"/>
              </w:rPr>
            </w:pPr>
          </w:p>
        </w:tc>
        <w:tc>
          <w:tcPr>
            <w:tcW w:w="2180" w:type="dxa"/>
            <w:vAlign w:val="bottom"/>
            <w:tcBorders>
              <w:bottom w:val="single" w:sz="8" w:color="CFF0FC"/>
            </w:tcBorders>
          </w:tcPr>
          <w:p>
            <w:pPr>
              <w:spacing w:after="0"/>
              <w:rPr>
                <w:sz w:val="2"/>
                <w:szCs w:val="2"/>
                <w:color w:val="auto"/>
              </w:rPr>
            </w:pPr>
          </w:p>
        </w:tc>
        <w:tc>
          <w:tcPr>
            <w:tcW w:w="334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tcBorders>
              <w:right w:val="single" w:sz="8" w:color="CFF0FC"/>
            </w:tcBorders>
          </w:tcPr>
          <w:p>
            <w:pPr>
              <w:spacing w:after="0"/>
              <w:rPr>
                <w:sz w:val="21"/>
                <w:szCs w:val="21"/>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33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tcBorders>
              <w:left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3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—State</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20" w:type="dxa"/>
            <w:vAlign w:val="bottom"/>
            <w:tcBorders>
              <w:right w:val="single" w:sz="8" w:color="CFF0FC"/>
            </w:tcBorders>
          </w:tcPr>
          <w:p>
            <w:pPr>
              <w:spacing w:after="0"/>
              <w:rPr>
                <w:sz w:val="22"/>
                <w:szCs w:val="22"/>
                <w:color w:val="auto"/>
              </w:rPr>
            </w:pPr>
          </w:p>
        </w:tc>
        <w:tc>
          <w:tcPr>
            <w:tcW w:w="2180" w:type="dxa"/>
            <w:vAlign w:val="bottom"/>
            <w:shd w:val="clear" w:color="auto" w:fill="CFF0FC"/>
          </w:tcPr>
          <w:p>
            <w:pPr>
              <w:spacing w:after="0"/>
              <w:rPr>
                <w:sz w:val="22"/>
                <w:szCs w:val="22"/>
                <w:color w:val="auto"/>
              </w:rPr>
            </w:pPr>
          </w:p>
        </w:tc>
        <w:tc>
          <w:tcPr>
            <w:tcW w:w="33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auto"/>
            </w:tcBorders>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auto"/>
            </w:tcBorders>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00" w:type="dxa"/>
            <w:vAlign w:val="bottom"/>
            <w:tcBorders>
              <w:left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20" w:type="dxa"/>
            <w:vAlign w:val="bottom"/>
          </w:tcPr>
          <w:p>
            <w:pPr>
              <w:spacing w:after="0"/>
              <w:rPr>
                <w:sz w:val="21"/>
                <w:szCs w:val="21"/>
                <w:color w:val="auto"/>
              </w:rPr>
            </w:pPr>
          </w:p>
        </w:tc>
        <w:tc>
          <w:tcPr>
            <w:tcW w:w="2180" w:type="dxa"/>
            <w:vAlign w:val="bottom"/>
            <w:tcBorders>
              <w:bottom w:val="single" w:sz="8" w:color="CFF0FC"/>
            </w:tcBorders>
          </w:tcPr>
          <w:p>
            <w:pPr>
              <w:spacing w:after="0"/>
              <w:rPr>
                <w:sz w:val="21"/>
                <w:szCs w:val="21"/>
                <w:color w:val="auto"/>
              </w:rPr>
            </w:pPr>
          </w:p>
        </w:tc>
        <w:tc>
          <w:tcPr>
            <w:tcW w:w="334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20" w:type="dxa"/>
            <w:vAlign w:val="bottom"/>
            <w:tcBorders>
              <w:right w:val="single" w:sz="8" w:color="CFF0FC"/>
            </w:tcBorders>
          </w:tcPr>
          <w:p>
            <w:pPr>
              <w:spacing w:after="0"/>
              <w:rPr>
                <w:sz w:val="22"/>
                <w:szCs w:val="22"/>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33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—Federal</w:t>
            </w:r>
          </w:p>
        </w:tc>
        <w:tc>
          <w:tcPr>
            <w:tcW w:w="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00" w:type="dxa"/>
            <w:vAlign w:val="bottom"/>
            <w:tcBorders>
              <w:left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3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—State</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20" w:type="dxa"/>
            <w:vAlign w:val="bottom"/>
            <w:tcBorders>
              <w:right w:val="single" w:sz="8" w:color="CFF0FC"/>
            </w:tcBorders>
          </w:tcPr>
          <w:p>
            <w:pPr>
              <w:spacing w:after="0"/>
              <w:rPr>
                <w:sz w:val="22"/>
                <w:szCs w:val="22"/>
                <w:color w:val="auto"/>
              </w:rPr>
            </w:pPr>
          </w:p>
        </w:tc>
        <w:tc>
          <w:tcPr>
            <w:tcW w:w="2180" w:type="dxa"/>
            <w:vAlign w:val="bottom"/>
            <w:shd w:val="clear" w:color="auto" w:fill="CFF0FC"/>
          </w:tcPr>
          <w:p>
            <w:pPr>
              <w:spacing w:after="0"/>
              <w:rPr>
                <w:sz w:val="22"/>
                <w:szCs w:val="22"/>
                <w:color w:val="auto"/>
              </w:rPr>
            </w:pPr>
          </w:p>
        </w:tc>
        <w:tc>
          <w:tcPr>
            <w:tcW w:w="33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auto"/>
            </w:tcBorders>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auto"/>
            </w:tcBorders>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Borders>
              <w:left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20" w:type="dxa"/>
            <w:vAlign w:val="bottom"/>
          </w:tcPr>
          <w:p>
            <w:pPr>
              <w:spacing w:after="0"/>
              <w:rPr>
                <w:sz w:val="21"/>
                <w:szCs w:val="21"/>
                <w:color w:val="auto"/>
              </w:rPr>
            </w:pPr>
          </w:p>
        </w:tc>
        <w:tc>
          <w:tcPr>
            <w:tcW w:w="2180" w:type="dxa"/>
            <w:vAlign w:val="bottom"/>
            <w:tcBorders>
              <w:bottom w:val="single" w:sz="8" w:color="CFF0FC"/>
            </w:tcBorders>
          </w:tcPr>
          <w:p>
            <w:pPr>
              <w:spacing w:after="0"/>
              <w:rPr>
                <w:sz w:val="21"/>
                <w:szCs w:val="21"/>
                <w:color w:val="auto"/>
              </w:rPr>
            </w:pPr>
          </w:p>
        </w:tc>
        <w:tc>
          <w:tcPr>
            <w:tcW w:w="334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20" w:type="dxa"/>
            <w:vAlign w:val="bottom"/>
            <w:tcBorders>
              <w:right w:val="single" w:sz="8" w:color="CFF0FC"/>
            </w:tcBorders>
          </w:tcPr>
          <w:p>
            <w:pPr>
              <w:spacing w:after="0"/>
              <w:rPr>
                <w:sz w:val="24"/>
                <w:szCs w:val="24"/>
                <w:color w:val="auto"/>
              </w:rPr>
            </w:pPr>
          </w:p>
        </w:tc>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 - continuing operations</w:t>
            </w:r>
          </w:p>
        </w:tc>
        <w:tc>
          <w:tcPr>
            <w:tcW w:w="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700" w:type="dxa"/>
            <w:vAlign w:val="bottom"/>
            <w:tcBorders>
              <w:left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3340" w:type="dxa"/>
            <w:vAlign w:val="bottom"/>
            <w:tcBorders>
              <w:top w:val="single" w:sz="8" w:color="CFF0FC"/>
              <w:bottom w:val="single" w:sz="8" w:color="CFF0FC"/>
            </w:tcBorders>
            <w:vMerge w:val="restart"/>
          </w:tcPr>
          <w:p>
            <w:pPr>
              <w:ind w:left="2580"/>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20" w:type="dxa"/>
            <w:vAlign w:val="bottom"/>
            <w:tcBorders>
              <w:bottom w:val="single" w:sz="8" w:color="9A9A9A"/>
            </w:tcBorders>
          </w:tcPr>
          <w:p>
            <w:pPr>
              <w:spacing w:after="0"/>
              <w:rPr>
                <w:sz w:val="8"/>
                <w:szCs w:val="8"/>
                <w:color w:val="auto"/>
              </w:rPr>
            </w:pPr>
          </w:p>
        </w:tc>
        <w:tc>
          <w:tcPr>
            <w:tcW w:w="218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differences between the income tax provision calculated at the statutory U.S. federal corporate income tax rate of 21% and the actual income tax provision recorded for continuing operations are as follows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
        </w:trPr>
        <w:tc>
          <w:tcPr>
            <w:tcW w:w="4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4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6"/>
                <w:szCs w:val="16"/>
                <w:color w:val="auto"/>
              </w:rPr>
            </w:pPr>
          </w:p>
        </w:tc>
      </w:tr>
      <w:tr>
        <w:trPr>
          <w:trHeight w:val="23"/>
        </w:trPr>
        <w:tc>
          <w:tcPr>
            <w:tcW w:w="416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provision</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5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70"/>
        </w:trPr>
        <w:tc>
          <w:tcPr>
            <w:tcW w:w="4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income tax adjustments</w:t>
            </w:r>
          </w:p>
        </w:tc>
        <w:tc>
          <w:tcPr>
            <w:tcW w:w="3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r>
      <w:tr>
        <w:trPr>
          <w:trHeight w:val="250"/>
        </w:trPr>
        <w:tc>
          <w:tcPr>
            <w:tcW w:w="4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 taxable income of Host Inc.</w:t>
            </w: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5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63"/>
        </w:trPr>
        <w:tc>
          <w:tcPr>
            <w:tcW w:w="4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Tax credits</w:t>
            </w:r>
          </w:p>
        </w:tc>
        <w:tc>
          <w:tcPr>
            <w:tcW w:w="3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0"/>
        </w:trPr>
        <w:tc>
          <w:tcPr>
            <w:tcW w:w="4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Cross-border tax laws</w:t>
            </w:r>
          </w:p>
        </w:tc>
        <w:tc>
          <w:tcPr>
            <w:tcW w:w="38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1"/>
                <w:szCs w:val="21"/>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3"/>
        </w:trPr>
        <w:tc>
          <w:tcPr>
            <w:tcW w:w="4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4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7"/>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income tax provision, net</w:t>
            </w:r>
          </w:p>
        </w:tc>
        <w:tc>
          <w:tcPr>
            <w:tcW w:w="38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50"/>
        </w:trPr>
        <w:tc>
          <w:tcPr>
            <w:tcW w:w="41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Foreign income tax provision</w:t>
            </w: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tcBorders>
              <w:bottom w:val="single" w:sz="8" w:color="CFF0FC"/>
            </w:tcBorders>
          </w:tcPr>
          <w:p>
            <w:pPr>
              <w:spacing w:after="0"/>
              <w:rPr>
                <w:sz w:val="21"/>
                <w:szCs w:val="21"/>
                <w:color w:val="auto"/>
              </w:rPr>
            </w:pPr>
          </w:p>
        </w:tc>
        <w:tc>
          <w:tcPr>
            <w:tcW w:w="7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Borders>
              <w:bottom w:val="single" w:sz="8" w:color="CFF0FC"/>
            </w:tcBorders>
          </w:tcPr>
          <w:p>
            <w:pPr>
              <w:spacing w:after="0"/>
              <w:rPr>
                <w:sz w:val="21"/>
                <w:szCs w:val="21"/>
                <w:color w:val="auto"/>
              </w:rPr>
            </w:pPr>
          </w:p>
        </w:tc>
        <w:tc>
          <w:tcPr>
            <w:tcW w:w="7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Borders>
              <w:bottom w:val="single" w:sz="8" w:color="CFF0FC"/>
            </w:tcBorders>
          </w:tcPr>
          <w:p>
            <w:pPr>
              <w:spacing w:after="0"/>
              <w:rPr>
                <w:sz w:val="21"/>
                <w:szCs w:val="21"/>
                <w:color w:val="auto"/>
              </w:rPr>
            </w:pPr>
          </w:p>
        </w:tc>
        <w:tc>
          <w:tcPr>
            <w:tcW w:w="7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82"/>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8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8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70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70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majority of the effect of the state and local income tax provision consists of Florida, California and Hawaii.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taxes activity, net, included the following (in millions):</w:t>
      </w:r>
    </w:p>
    <w:p>
      <w:pPr>
        <w:spacing w:after="0" w:line="25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60" w:type="dxa"/>
            <w:vAlign w:val="bottom"/>
            <w:gridSpan w:val="5"/>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60" w:type="dxa"/>
            <w:vAlign w:val="bottom"/>
          </w:tcPr>
          <w:p>
            <w:pPr>
              <w:spacing w:after="0"/>
              <w:rPr>
                <w:sz w:val="16"/>
                <w:szCs w:val="16"/>
                <w:color w:val="auto"/>
              </w:rPr>
            </w:pPr>
          </w:p>
        </w:tc>
      </w:tr>
      <w:tr>
        <w:trPr>
          <w:trHeight w:val="23"/>
        </w:trPr>
        <w:tc>
          <w:tcPr>
            <w:tcW w:w="5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54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0"/>
        </w:trPr>
        <w:tc>
          <w:tcPr>
            <w:tcW w:w="5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r>
      <w:tr>
        <w:trPr>
          <w:trHeight w:val="25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California</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Florida</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5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Illinois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3"/>
        </w:trPr>
        <w:tc>
          <w:tcPr>
            <w:tcW w:w="5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Texas</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5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York</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3"/>
        </w:trPr>
        <w:tc>
          <w:tcPr>
            <w:tcW w:w="5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Massachusetts</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5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Tennessee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Philadelphia</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50"/>
        </w:trPr>
        <w:tc>
          <w:tcPr>
            <w:tcW w:w="55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50"/>
        </w:trPr>
        <w:tc>
          <w:tcPr>
            <w:tcW w:w="554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7"/>
        </w:trPr>
        <w:tc>
          <w:tcPr>
            <w:tcW w:w="5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r>
      <w:tr>
        <w:trPr>
          <w:trHeight w:val="25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63"/>
        </w:trPr>
        <w:tc>
          <w:tcPr>
            <w:tcW w:w="5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Alberta</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50"/>
        </w:trPr>
        <w:tc>
          <w:tcPr>
            <w:tcW w:w="55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Brazil</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50"/>
        </w:trPr>
        <w:tc>
          <w:tcPr>
            <w:tcW w:w="554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6"/>
        </w:trPr>
        <w:tc>
          <w:tcPr>
            <w:tcW w:w="554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270"/>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taxes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FF0FC"/>
          </w:tcPr>
          <w:p>
            <w:pPr>
              <w:spacing w:after="0"/>
              <w:rPr>
                <w:sz w:val="23"/>
                <w:szCs w:val="23"/>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55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unrecognized tax benefits remained unchanged at $1 million for each of the years ended December 31, 2025 and 2024. All of such uncertain tax position amounts, if recognized, would impact our reconciliation between the income</w:t>
      </w:r>
    </w:p>
    <w:p>
      <w:pPr>
        <w:sectPr>
          <w:pgSz w:w="11900" w:h="16838" w:orient="portrait"/>
          <w:cols w:equalWidth="0" w:num="1">
            <w:col w:w="11180"/>
          </w:cols>
          <w:pgMar w:left="320" w:top="229" w:right="39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provision calculated at the statutory U.S. federal corporate income tax rate of 21% and the actual income tax provision recorded each year.</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 tax years that remain subject to examination by major tax jurisdictions generally include 2022-2025. There were no material interest or penalties recorded for the years ended December 31, 2025, 2024 and 2023.</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Leases</w:t>
      </w:r>
    </w:p>
    <w:p>
      <w:pPr>
        <w:spacing w:after="0" w:line="227"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Taxable REIT Subsidiaries Leases. </w:t>
      </w:r>
      <w:r>
        <w:rPr>
          <w:rFonts w:ascii="Times New Roman" w:cs="Times New Roman" w:eastAsia="Times New Roman" w:hAnsi="Times New Roman"/>
          <w:sz w:val="18"/>
          <w:szCs w:val="18"/>
          <w:color w:val="auto"/>
        </w:rPr>
        <w:t>We lease substantially all our hotels to a wholly owned subsidiary that qualifies as a taxable REIT subsidiary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the U.S. federal income tax prohibition on the ability of a REIT to derive revenues directly from the operations of a hotel.</w:t>
      </w:r>
    </w:p>
    <w:p>
      <w:pPr>
        <w:spacing w:after="0" w:line="158" w:lineRule="exact"/>
        <w:rPr>
          <w:sz w:val="20"/>
          <w:szCs w:val="20"/>
          <w:color w:val="auto"/>
        </w:rPr>
      </w:pPr>
    </w:p>
    <w:p>
      <w:pPr>
        <w:ind w:right="20" w:firstLine="18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Ground Leases. </w:t>
      </w:r>
      <w:r>
        <w:rPr>
          <w:rFonts w:ascii="Times New Roman" w:cs="Times New Roman" w:eastAsia="Times New Roman" w:hAnsi="Times New Roman"/>
          <w:sz w:val="18"/>
          <w:szCs w:val="18"/>
          <w:color w:val="auto"/>
        </w:rPr>
        <w:t>As of December 31, 2025, all or a portion of 18 of our hotels are subject to ground leases, generally with multiple renewal options, all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accounted for as operating leases. Payments for ground leases account for approximately 72% of our 2025 minimum lease payments and 96% of our total future minimum lease payments. For lease agreements with scheduled rent increases, we recognize the fixed portion of the lease expense ratably over the term of the lease. As the exercise of the renewal options were determined to be reasonably certain, the payments associated with the renewals have been included in the measurement of the lease liability and ROU asset. Contingent rental payments based on a percentage of sales in excess of stipulated amounts are not included in the measurement of the lease liability and ROU asset but will be recognized as variable lease expense if and when they are incurred. However, certain of these leases contain provisions that increase the minimum lease payments based on an average of the variable lease payments made over the previous years, for which we will reevaluate the lease liability and ROU asset as these payments represent an increase in the minimum payments for the remainder of the lease term. Certain of these leases also contain provisions that increase the minimum lease payments based on an index such as the Consumer Price Index. Such increases are not included in the measurement of the lease liability and ROU asset but will be recognized as variable lease expense if and when they are incurred. The discount rate used to calculate the lease liability and ROU asset is based on our incremental borrowing rate (“IBR”), as the rate implicit in each lease is not readily determinable. To calculate our IBR, we obtained a forward curve using LIBOR swap rates, with terms ranging from one to fifty years, as well as corresponding bond spreads based on the terms of the leases and our credit risk. The resulting discount rates for our ground leases range from 4.4% to 7.0%.</w:t>
      </w:r>
    </w:p>
    <w:p>
      <w:pPr>
        <w:spacing w:after="0" w:line="185" w:lineRule="exact"/>
        <w:rPr>
          <w:sz w:val="20"/>
          <w:szCs w:val="20"/>
          <w:color w:val="auto"/>
        </w:rPr>
      </w:pPr>
    </w:p>
    <w:p>
      <w:pPr>
        <w:ind w:right="240" w:firstLine="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Office Leases and Other. </w:t>
      </w:r>
      <w:r>
        <w:rPr>
          <w:rFonts w:ascii="Times New Roman" w:cs="Times New Roman" w:eastAsia="Times New Roman" w:hAnsi="Times New Roman"/>
          <w:sz w:val="18"/>
          <w:szCs w:val="18"/>
          <w:color w:val="auto"/>
        </w:rPr>
        <w:t>We have an office lease for our headquarters office in Bethesda, which expires in 2036, with no renewal options. Our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activity also includes leases on facilities used in our former restaurant business, all of which we subsequently subleased, and leases entered into by our hotels for various types of equipment.</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lease cost and other information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40" w:type="dxa"/>
            <w:vAlign w:val="bottom"/>
            <w:vMerge w:val="continue"/>
          </w:tcPr>
          <w:p>
            <w:pPr>
              <w:spacing w:after="0"/>
              <w:rPr>
                <w:sz w:val="19"/>
                <w:szCs w:val="19"/>
                <w:color w:val="auto"/>
              </w:rPr>
            </w:pPr>
          </w:p>
        </w:tc>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44</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84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78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FF0FC"/>
            </w:tcBorders>
          </w:tcPr>
          <w:p>
            <w:pPr>
              <w:spacing w:after="0" w:line="20" w:lineRule="exact"/>
              <w:rPr>
                <w:sz w:val="1"/>
                <w:szCs w:val="1"/>
                <w:color w:val="auto"/>
              </w:rPr>
            </w:pPr>
          </w:p>
        </w:tc>
        <w:tc>
          <w:tcPr>
            <w:tcW w:w="1840" w:type="dxa"/>
            <w:vAlign w:val="bottom"/>
            <w:tcBorders>
              <w:bottom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2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44</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44 years</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46 years</w:t>
            </w:r>
          </w:p>
        </w:tc>
        <w:tc>
          <w:tcPr>
            <w:tcW w:w="340" w:type="dxa"/>
            <w:vAlign w:val="bottom"/>
          </w:tcPr>
          <w:p>
            <w:pPr>
              <w:spacing w:after="0"/>
              <w:rPr>
                <w:sz w:val="22"/>
                <w:szCs w:val="22"/>
                <w:color w:val="auto"/>
              </w:rPr>
            </w:pPr>
          </w:p>
        </w:tc>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46 years</w:t>
            </w:r>
          </w:p>
        </w:tc>
        <w:tc>
          <w:tcPr>
            <w:tcW w:w="0" w:type="dxa"/>
            <w:vAlign w:val="bottom"/>
          </w:tcPr>
          <w:p>
            <w:pPr>
              <w:spacing w:after="0"/>
              <w:rPr>
                <w:sz w:val="1"/>
                <w:szCs w:val="1"/>
                <w:color w:val="auto"/>
              </w:rPr>
            </w:pPr>
          </w:p>
        </w:tc>
      </w:tr>
      <w:tr>
        <w:trPr>
          <w:trHeight w:val="25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8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904"/>
        </w:trPr>
        <w:tc>
          <w:tcPr>
            <w:tcW w:w="4840" w:type="dxa"/>
            <w:vAlign w:val="bottom"/>
          </w:tcPr>
          <w:p>
            <w:pPr>
              <w:spacing w:after="0"/>
              <w:rPr>
                <w:sz w:val="24"/>
                <w:szCs w:val="24"/>
                <w:color w:val="auto"/>
              </w:rPr>
            </w:pPr>
          </w:p>
        </w:tc>
        <w:tc>
          <w:tcPr>
            <w:tcW w:w="18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total amount of minimum lease payments, on an undiscounted basis, to the lease liability on the balance sheet as of December 31, 2025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5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Ground Leases</w:t>
            </w: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Office Leases and Other</w:t>
            </w:r>
          </w:p>
        </w:tc>
        <w:tc>
          <w:tcPr>
            <w:tcW w:w="400" w:type="dxa"/>
            <w:vAlign w:val="bottom"/>
          </w:tcPr>
          <w:p>
            <w:pPr>
              <w:spacing w:after="0"/>
              <w:rPr>
                <w:sz w:val="16"/>
                <w:szCs w:val="16"/>
                <w:color w:val="auto"/>
              </w:rPr>
            </w:pPr>
          </w:p>
        </w:tc>
        <w:tc>
          <w:tcPr>
            <w:tcW w:w="130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6"/>
        </w:trPr>
        <w:tc>
          <w:tcPr>
            <w:tcW w:w="59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40" w:type="dxa"/>
            <w:vAlign w:val="bottom"/>
            <w:tcBorders>
              <w:top w:val="single" w:sz="8" w:color="auto"/>
            </w:tcBorders>
            <w:shd w:val="clear" w:color="auto" w:fill="CFF0FC"/>
          </w:tcPr>
          <w:p>
            <w:pPr>
              <w:spacing w:after="0"/>
              <w:rPr>
                <w:sz w:val="22"/>
                <w:szCs w:val="22"/>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FF0FC"/>
            </w:tcBorders>
            <w:shd w:val="clear" w:color="auto" w:fill="CFF0FC"/>
          </w:tcPr>
          <w:p>
            <w:pPr>
              <w:spacing w:after="0"/>
              <w:rPr>
                <w:sz w:val="22"/>
                <w:szCs w:val="22"/>
                <w:color w:val="auto"/>
              </w:rPr>
            </w:pPr>
          </w:p>
        </w:tc>
        <w:tc>
          <w:tcPr>
            <w:tcW w:w="700" w:type="dxa"/>
            <w:vAlign w:val="bottom"/>
            <w:tcBorders>
              <w:top w:val="single" w:sz="8" w:color="auto"/>
            </w:tcBorders>
            <w:shd w:val="clear" w:color="auto" w:fill="CFF0FC"/>
          </w:tcPr>
          <w:p>
            <w:pPr>
              <w:spacing w:after="0"/>
              <w:rPr>
                <w:sz w:val="22"/>
                <w:szCs w:val="22"/>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FF0FC"/>
            </w:tcBorders>
            <w:shd w:val="clear" w:color="auto" w:fill="CFF0FC"/>
          </w:tcPr>
          <w:p>
            <w:pPr>
              <w:spacing w:after="0"/>
              <w:rPr>
                <w:sz w:val="22"/>
                <w:szCs w:val="22"/>
                <w:color w:val="auto"/>
              </w:rPr>
            </w:pPr>
          </w:p>
        </w:tc>
        <w:tc>
          <w:tcPr>
            <w:tcW w:w="400" w:type="dxa"/>
            <w:vAlign w:val="bottom"/>
            <w:tcBorders>
              <w:top w:val="single" w:sz="8" w:color="auto"/>
            </w:tcBorders>
            <w:shd w:val="clear" w:color="auto" w:fill="CFF0FC"/>
          </w:tcPr>
          <w:p>
            <w:pPr>
              <w:spacing w:after="0"/>
              <w:rPr>
                <w:sz w:val="22"/>
                <w:szCs w:val="22"/>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5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70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w:t>
            </w:r>
          </w:p>
        </w:tc>
      </w:tr>
      <w:tr>
        <w:trPr>
          <w:trHeight w:val="26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39</w:t>
            </w:r>
          </w:p>
        </w:tc>
      </w:tr>
      <w:tr>
        <w:trPr>
          <w:trHeight w:val="25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21"/>
                <w:szCs w:val="21"/>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w:t>
            </w:r>
          </w:p>
        </w:tc>
      </w:tr>
      <w:tr>
        <w:trPr>
          <w:trHeight w:val="26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38</w:t>
            </w:r>
          </w:p>
        </w:tc>
      </w:tr>
      <w:tr>
        <w:trPr>
          <w:trHeight w:val="25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tcPr>
          <w:p>
            <w:pPr>
              <w:spacing w:after="0"/>
              <w:rPr>
                <w:sz w:val="21"/>
                <w:szCs w:val="21"/>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r>
      <w:tr>
        <w:trPr>
          <w:trHeight w:val="257"/>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1,339</w:t>
            </w:r>
          </w:p>
        </w:tc>
      </w:tr>
      <w:tr>
        <w:trPr>
          <w:trHeight w:val="257"/>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22"/>
                <w:szCs w:val="22"/>
                <w:color w:val="auto"/>
              </w:rPr>
            </w:pPr>
          </w:p>
        </w:tc>
        <w:tc>
          <w:tcPr>
            <w:tcW w:w="7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1,531</w:t>
            </w:r>
          </w:p>
        </w:tc>
      </w:tr>
      <w:tr>
        <w:trPr>
          <w:trHeight w:val="20"/>
        </w:trPr>
        <w:tc>
          <w:tcPr>
            <w:tcW w:w="596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5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5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values</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7"/>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563</w:t>
            </w:r>
          </w:p>
        </w:tc>
      </w:tr>
      <w:tr>
        <w:trPr>
          <w:trHeight w:val="257"/>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2"/>
                <w:szCs w:val="22"/>
                <w:color w:val="auto"/>
              </w:rPr>
            </w:pPr>
          </w:p>
        </w:tc>
        <w:tc>
          <w:tcPr>
            <w:tcW w:w="7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563</w:t>
            </w:r>
          </w:p>
        </w:tc>
      </w:tr>
      <w:tr>
        <w:trPr>
          <w:trHeight w:val="20"/>
        </w:trPr>
        <w:tc>
          <w:tcPr>
            <w:tcW w:w="596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1"/>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Difference between undiscounted cash flows and discounted cash flows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968</w:t>
            </w:r>
          </w:p>
        </w:tc>
      </w:tr>
    </w:tbl>
    <w:p>
      <w:pPr>
        <w:spacing w:after="0" w:line="2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Employee Stock Plans</w:t>
      </w:r>
    </w:p>
    <w:p>
      <w:pPr>
        <w:spacing w:after="0" w:line="121"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Upon the issuance of Host Inc.’s common stock for stock-based compensation, Host L.P. issues to Host Inc. common OP units of an equivalent value. Accordingly, these awards and related disclosures are included in both Host Inc.’s and Host L.P.’s consolidated financial statements.</w:t>
      </w:r>
    </w:p>
    <w:p>
      <w:pPr>
        <w:spacing w:after="0" w:line="16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Host Inc. maintains two stock-based compensation plans, the Comprehensive Stock and Cash Incentive Plan (the “2024 Comprehensive Plan”), under which Host Inc. may award to participating employees restricted stock units (“RSUs”), and the Employee Stock Purchase Plan. At December 31, 2025, there were approximately 22 million shares of Host Inc.’s common stock reserved and available for issuance under the 2024 Comprehensive Plan.</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recognize costs resulting from share-based payments in our financial statements over their vesting periods. No compensation cost is recognized for awards for which employees do not render the requisite services. We classify share-based payment awards granted in exchange for employee services as either equity-classified or liability-classified awards. Equity-classified awards are measured based on their fair value as of the date of grant. In contrast, liability-classified awards are re-measured to fair value each reporting period.</w:t>
      </w:r>
    </w:p>
    <w:p>
      <w:pPr>
        <w:spacing w:after="0" w:line="180" w:lineRule="exact"/>
        <w:rPr>
          <w:sz w:val="20"/>
          <w:szCs w:val="20"/>
          <w:color w:val="auto"/>
        </w:rPr>
      </w:pPr>
    </w:p>
    <w:p>
      <w:pPr>
        <w:jc w:val="both"/>
        <w:ind w:right="620" w:firstLine="648"/>
        <w:spacing w:after="0" w:line="266" w:lineRule="auto"/>
        <w:rPr>
          <w:sz w:val="20"/>
          <w:szCs w:val="20"/>
          <w:color w:val="auto"/>
        </w:rPr>
      </w:pPr>
      <w:r>
        <w:rPr>
          <w:rFonts w:ascii="Times New Roman" w:cs="Times New Roman" w:eastAsia="Times New Roman" w:hAnsi="Times New Roman"/>
          <w:sz w:val="18"/>
          <w:szCs w:val="18"/>
          <w:color w:val="auto"/>
        </w:rPr>
        <w:t>During 2025, 2024 and 2023, we recorded stock-based compensation expense of approximately $26 million, $24 million and $30 million, respectively. Shares granted in 2025, 2024 and 2023 totaled 2.2 million, 2.0 million and 1.8 million, respectively, while 1.7 million, 1.5 million and 2.3 million shares, respectively, vested during those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Executive Plan</w:t>
      </w:r>
    </w:p>
    <w:p>
      <w:pPr>
        <w:spacing w:after="0" w:line="12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During 2025, Host Inc. granted 1.9 million RSU awards under the 2024 Comprehensive Plan, which amount represents the maximum number of RSUs that can be earned during the period of 2025 through 2027 if performance is at the “high” level of achievement and, for time-based awards, the executive remains employed. The RSUs vest over a one, two or three-year period and 3.1 million RSUs were unvested at December 31, 2025. Total unrecognized compensation expense related to unvested RSU awards that vest through 2027 is approximately $20 million.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 awards</w:t>
      </w:r>
    </w:p>
    <w:p>
      <w:pPr>
        <w:spacing w:after="0" w:line="11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Vesting of RSUs awarded in 2025 is based on (1) continued employment on the vesting date (“Time-Based Award”); (2) the achievement of relative total shareholder return (“TSR”); and (3) our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performance.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Approximately 25% of the RSUs are Time-Based Awards and vest on an annual basis over three years; approximately 37.5% of the RSUs are based on the satisfaction of the TSR compared to the NAREIT Equity Lodging &amp; Resort index that serves as a relevant industry/asset specific measurement to our competitors and vest following a three-year performance period; and the remaining 37.5% are based on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performance and vest following a three-year performance period. The RSUs granted are considered equity-classified awards. As a result, the fair value of these awards is based on the fair value on the grant date, and such grant date fair value is not adjusted for subsequent movements thereof.</w:t>
      </w:r>
    </w:p>
    <w:p>
      <w:pPr>
        <w:spacing w:after="0" w:line="75"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We value the time-based awards using the closing stock price on the grant date multiplied by the percentage of shares expected to be released, which is 100% of the time based awards. We also value the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awards using the closing stock price on the grant date multiplied by the percentage of shares expected to be released; however, as a result of the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performance conditions, we reevaluate the percentage based on the probability of meeting the performance conditions each period. We value the TSR awards using the economic theory that is the basis for all valuation models, including Binominal, Black-Scholes, exotic options formulas, and Monte Carlo valuations. We valued the TSR awards with the following assumptions: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NAREIT Lodging &amp; Resorts Index</w:t>
            </w:r>
          </w:p>
        </w:tc>
      </w:tr>
      <w:tr>
        <w:trPr>
          <w:trHeight w:val="23"/>
        </w:trPr>
        <w:tc>
          <w:tcPr>
            <w:tcW w:w="8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2025 Grant Awards</w:t>
            </w:r>
          </w:p>
        </w:tc>
        <w:tc>
          <w:tcPr>
            <w:tcW w:w="120" w:type="dxa"/>
            <w:vAlign w:val="bottom"/>
          </w:tcPr>
          <w:p>
            <w:pPr>
              <w:spacing w:after="0"/>
              <w:rPr>
                <w:sz w:val="16"/>
                <w:szCs w:val="16"/>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2024 Grant Awards</w:t>
            </w:r>
          </w:p>
        </w:tc>
      </w:tr>
      <w:tr>
        <w:trPr>
          <w:trHeight w:val="256"/>
        </w:trPr>
        <w:tc>
          <w:tcPr>
            <w:tcW w:w="81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 date stock price</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top w:val="single" w:sz="8" w:color="CFF0FC"/>
            </w:tcBorders>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19.23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6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Beta</w:t>
            </w: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0.872</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0.845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 three year award</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bl>
    <w:p>
      <w:pPr>
        <w:spacing w:after="0" w:line="30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making these assumptions, we base the expected volatility on the historical volatility over three years using daily stock price observations. The beta is calculated by comparing the risk of our stock to the risk of the applicable peer group index, using three years of daily price data. We base the risk-free rate on the Treasury bond yields corresponding to the length of each performance period as reported by the Federal Reserve.</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payout schedule for the TSR awards is as follows, with linear interpolation for points between the 30</w:t>
      </w:r>
      <w:r>
        <w:rPr>
          <w:rFonts w:ascii="Times New Roman" w:cs="Times New Roman" w:eastAsia="Times New Roman" w:hAnsi="Times New Roman"/>
          <w:sz w:val="7"/>
          <w:szCs w:val="7"/>
          <w:color w:val="auto"/>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7"/>
          <w:szCs w:val="7"/>
          <w:color w:val="auto"/>
        </w:rPr>
        <w:t>th</w:t>
      </w:r>
      <w:r>
        <w:rPr>
          <w:rFonts w:ascii="Times New Roman" w:cs="Times New Roman" w:eastAsia="Times New Roman" w:hAnsi="Times New Roman"/>
          <w:sz w:val="18"/>
          <w:szCs w:val="18"/>
          <w:color w:val="auto"/>
        </w:rPr>
        <w:t xml:space="preserve"> percentiles: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ind w:left="2000"/>
              <w:spacing w:after="0"/>
              <w:rPr>
                <w:sz w:val="20"/>
                <w:szCs w:val="20"/>
                <w:color w:val="auto"/>
              </w:rPr>
            </w:pPr>
            <w:r>
              <w:rPr>
                <w:rFonts w:ascii="Times New Roman" w:cs="Times New Roman" w:eastAsia="Times New Roman" w:hAnsi="Times New Roman"/>
                <w:sz w:val="14"/>
                <w:szCs w:val="14"/>
                <w:b w:val="1"/>
                <w:bCs w:val="1"/>
                <w:color w:val="auto"/>
              </w:rPr>
              <w:t>TSR Percentile Ranking</w:t>
            </w:r>
          </w:p>
        </w:tc>
        <w:tc>
          <w:tcPr>
            <w:tcW w:w="100" w:type="dxa"/>
            <w:vAlign w:val="bottom"/>
          </w:tcPr>
          <w:p>
            <w:pPr>
              <w:spacing w:after="0"/>
              <w:rPr>
                <w:sz w:val="16"/>
                <w:szCs w:val="16"/>
                <w:color w:val="auto"/>
              </w:rPr>
            </w:pPr>
          </w:p>
        </w:tc>
        <w:tc>
          <w:tcPr>
            <w:tcW w:w="5660" w:type="dxa"/>
            <w:vAlign w:val="bottom"/>
          </w:tcPr>
          <w:p>
            <w:pPr>
              <w:jc w:val="right"/>
              <w:ind w:right="1979"/>
              <w:spacing w:after="0"/>
              <w:rPr>
                <w:sz w:val="20"/>
                <w:szCs w:val="20"/>
                <w:color w:val="auto"/>
              </w:rPr>
            </w:pPr>
            <w:r>
              <w:rPr>
                <w:rFonts w:ascii="Times New Roman" w:cs="Times New Roman" w:eastAsia="Times New Roman" w:hAnsi="Times New Roman"/>
                <w:sz w:val="14"/>
                <w:szCs w:val="14"/>
                <w:b w:val="1"/>
                <w:bCs w:val="1"/>
                <w:color w:val="auto"/>
              </w:rPr>
              <w:t>Payout (% of Maximum)</w:t>
            </w:r>
          </w:p>
        </w:tc>
      </w:tr>
      <w:tr>
        <w:trPr>
          <w:trHeight w:val="23"/>
        </w:trPr>
        <w:tc>
          <w:tcPr>
            <w:tcW w:w="5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r>
      <w:tr>
        <w:trPr>
          <w:trHeight w:val="250"/>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At or above 75th percentile</w:t>
            </w:r>
          </w:p>
        </w:tc>
        <w:tc>
          <w:tcPr>
            <w:tcW w:w="5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50th percentile</w:t>
            </w:r>
          </w:p>
        </w:tc>
        <w:tc>
          <w:tcPr>
            <w:tcW w:w="5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63"/>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30th percentile</w:t>
            </w:r>
          </w:p>
        </w:tc>
        <w:tc>
          <w:tcPr>
            <w:tcW w:w="5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Below 30th percentile</w:t>
            </w:r>
          </w:p>
        </w:tc>
        <w:tc>
          <w:tcPr>
            <w:tcW w:w="100" w:type="dxa"/>
            <w:vAlign w:val="bottom"/>
          </w:tcPr>
          <w:p>
            <w:pPr>
              <w:spacing w:after="0"/>
              <w:rPr>
                <w:sz w:val="21"/>
                <w:szCs w:val="21"/>
                <w:color w:val="auto"/>
              </w:rPr>
            </w:pPr>
          </w:p>
        </w:tc>
        <w:tc>
          <w:tcPr>
            <w:tcW w:w="5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18"/>
        </w:trPr>
        <w:tc>
          <w:tcPr>
            <w:tcW w:w="5480" w:type="dxa"/>
            <w:vAlign w:val="bottom"/>
          </w:tcPr>
          <w:p>
            <w:pPr>
              <w:spacing w:after="0"/>
              <w:rPr>
                <w:sz w:val="24"/>
                <w:szCs w:val="24"/>
                <w:color w:val="auto"/>
              </w:rPr>
            </w:pPr>
          </w:p>
        </w:tc>
        <w:tc>
          <w:tcPr>
            <w:tcW w:w="5760" w:type="dxa"/>
            <w:vAlign w:val="bottom"/>
            <w:gridSpan w:val="2"/>
          </w:tcPr>
          <w:p>
            <w:pPr>
              <w:jc w:val="right"/>
              <w:ind w:right="5399"/>
              <w:spacing w:after="0"/>
              <w:rPr>
                <w:sz w:val="20"/>
                <w:szCs w:val="20"/>
                <w:color w:val="auto"/>
              </w:rPr>
            </w:pPr>
            <w:r>
              <w:rPr>
                <w:rFonts w:ascii="Times New Roman" w:cs="Times New Roman" w:eastAsia="Times New Roman" w:hAnsi="Times New Roman"/>
                <w:sz w:val="18"/>
                <w:szCs w:val="18"/>
                <w:color w:val="auto"/>
                <w:w w:val="96"/>
              </w:rPr>
              <w:t>111</w:t>
            </w:r>
          </w:p>
        </w:tc>
      </w:tr>
      <w:tr>
        <w:trPr>
          <w:trHeight w:val="101"/>
        </w:trPr>
        <w:tc>
          <w:tcPr>
            <w:tcW w:w="5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2025, 2024 and 2023, we recorded compensation expense of approximately $23 million, $21 million and $27 million, respectively, related to the RSU awards to senior executives. The following table is a summary of the status of our senior executive plans for the three years ended December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2660" w:type="dxa"/>
            <w:vAlign w:val="bottom"/>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2660" w:type="dxa"/>
            <w:vAlign w:val="bottom"/>
          </w:tcPr>
          <w:p>
            <w:pPr>
              <w:spacing w:after="0"/>
              <w:rPr>
                <w:sz w:val="16"/>
                <w:szCs w:val="16"/>
                <w:color w:val="auto"/>
              </w:rPr>
            </w:pP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Pr>
          <w:p>
            <w:pPr>
              <w:spacing w:after="0"/>
              <w:rPr>
                <w:sz w:val="16"/>
                <w:szCs w:val="16"/>
                <w:color w:val="auto"/>
              </w:rPr>
            </w:pPr>
          </w:p>
        </w:tc>
        <w:tc>
          <w:tcPr>
            <w:tcW w:w="17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Pr>
          <w:p>
            <w:pPr>
              <w:spacing w:after="0"/>
              <w:rPr>
                <w:sz w:val="16"/>
                <w:szCs w:val="16"/>
                <w:color w:val="auto"/>
              </w:rPr>
            </w:pPr>
          </w:p>
        </w:tc>
      </w:tr>
      <w:tr>
        <w:trPr>
          <w:trHeight w:val="23"/>
        </w:trPr>
        <w:tc>
          <w:tcPr>
            <w:tcW w:w="26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8"/>
        </w:trPr>
        <w:tc>
          <w:tcPr>
            <w:tcW w:w="2660" w:type="dxa"/>
            <w:vAlign w:val="bottom"/>
          </w:tcPr>
          <w:p>
            <w:pPr>
              <w:spacing w:after="0"/>
              <w:rPr>
                <w:sz w:val="13"/>
                <w:szCs w:val="13"/>
                <w:color w:val="auto"/>
              </w:rPr>
            </w:pPr>
          </w:p>
        </w:tc>
        <w:tc>
          <w:tcPr>
            <w:tcW w:w="1360" w:type="dxa"/>
            <w:vAlign w:val="bottom"/>
          </w:tcPr>
          <w:p>
            <w:pPr>
              <w:jc w:val="right"/>
              <w:ind w:right="396"/>
              <w:spacing w:after="0" w:line="158"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255"/>
              <w:spacing w:after="0" w:line="158"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1340" w:type="dxa"/>
            <w:vAlign w:val="bottom"/>
          </w:tcPr>
          <w:p>
            <w:pPr>
              <w:jc w:val="right"/>
              <w:ind w:right="388"/>
              <w:spacing w:after="0" w:line="158"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360" w:type="dxa"/>
            <w:vAlign w:val="bottom"/>
          </w:tcPr>
          <w:p>
            <w:pPr>
              <w:jc w:val="right"/>
              <w:ind w:right="396"/>
              <w:spacing w:after="0" w:line="158"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275"/>
              <w:spacing w:after="0" w:line="158"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0"/>
        </w:trPr>
        <w:tc>
          <w:tcPr>
            <w:tcW w:w="266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13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37"/>
        </w:trPr>
        <w:tc>
          <w:tcPr>
            <w:tcW w:w="2660" w:type="dxa"/>
            <w:vAlign w:val="bottom"/>
            <w:tcBorders>
              <w:bottom w:val="single" w:sz="8" w:color="CFF0FC"/>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50"/>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63"/>
        </w:trPr>
        <w:tc>
          <w:tcPr>
            <w:tcW w:w="2660" w:type="dxa"/>
            <w:vAlign w:val="bottom"/>
            <w:shd w:val="clear" w:color="auto" w:fill="CFF0FC"/>
          </w:tcPr>
          <w:p>
            <w:pPr>
              <w:ind w:left="20"/>
              <w:spacing w:after="0" w:line="263" w:lineRule="exact"/>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23"/>
                <w:szCs w:val="23"/>
                <w:color w:val="auto"/>
                <w:vertAlign w:val="superscript"/>
              </w:rPr>
              <w:t>(1)</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0"/>
        </w:trPr>
        <w:tc>
          <w:tcPr>
            <w:tcW w:w="26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1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FF0FC"/>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81"/>
        </w:trPr>
        <w:tc>
          <w:tcPr>
            <w:tcW w:w="2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26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r>
      <w:tr>
        <w:trPr>
          <w:trHeight w:val="231"/>
        </w:trPr>
        <w:tc>
          <w:tcPr>
            <w:tcW w:w="2660" w:type="dxa"/>
            <w:vAlign w:val="bottom"/>
          </w:tcPr>
          <w:p>
            <w:pPr>
              <w:ind w:left="20"/>
              <w:spacing w:after="0" w:line="231" w:lineRule="exact"/>
              <w:rPr>
                <w:sz w:val="20"/>
                <w:szCs w:val="20"/>
                <w:color w:val="auto"/>
              </w:rPr>
            </w:pPr>
            <w:r>
              <w:rPr>
                <w:rFonts w:ascii="Times New Roman" w:cs="Times New Roman" w:eastAsia="Times New Roman" w:hAnsi="Times New Roman"/>
                <w:sz w:val="18"/>
                <w:szCs w:val="18"/>
                <w:color w:val="auto"/>
              </w:rPr>
              <w:t xml:space="preserve">Issued in calendar year </w:t>
            </w:r>
            <w:r>
              <w:rPr>
                <w:rFonts w:ascii="Times New Roman" w:cs="Times New Roman" w:eastAsia="Times New Roman" w:hAnsi="Times New Roman"/>
                <w:sz w:val="23"/>
                <w:szCs w:val="23"/>
                <w:color w:val="auto"/>
                <w:vertAlign w:val="superscript"/>
              </w:rPr>
              <w:t>(1)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26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17" w:lineRule="exact"/>
        <w:rPr>
          <w:sz w:val="20"/>
          <w:szCs w:val="20"/>
          <w:color w:val="auto"/>
        </w:rPr>
      </w:pPr>
    </w:p>
    <w:p>
      <w:pPr>
        <w:ind w:left="640" w:hanging="632"/>
        <w:spacing w:after="0"/>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that vest at December 31 of each year are issued to the employees in the first quarter of the following year, although the requisite service period is complete. Accordingly, the</w:t>
      </w:r>
    </w:p>
    <w:p>
      <w:pPr>
        <w:spacing w:after="0" w:line="11" w:lineRule="exact"/>
        <w:rPr>
          <w:rFonts w:ascii="Times New Roman" w:cs="Times New Roman" w:eastAsia="Times New Roman" w:hAnsi="Times New Roman"/>
          <w:sz w:val="14"/>
          <w:szCs w:val="14"/>
          <w:color w:val="auto"/>
        </w:rPr>
      </w:pPr>
    </w:p>
    <w:p>
      <w:pPr>
        <w:ind w:left="660"/>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0.7 million shares issued in 2025 include shares vested at December 31, 2024, after adjusting for shares withheld to meet employee tax requirements. The shares withheld for employee tax requirements were valued at $10 million, $18 million and $11 million for 2025, 2024 and 2023,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Stock Plans</w:t>
      </w:r>
    </w:p>
    <w:p>
      <w:pPr>
        <w:spacing w:after="0" w:line="121"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share-based plans described above, we maintain an upper-middle management plan and an employee stock purchase plan. The upper-middle management awards are time-based, equity-classified awards that vest within three-years of the grant date and compensation expense is recognized over the life of the award based on the grant date fair value. Through the employee stock purchase plan, employees can purchase stock at a discount of 10% of the lower of the beginning and ending stock price each quarter. During 2025, 2024 and 2023, we granted a total of 0.3 million shares, 0.3 million shares and 0.2 million shares, respectively, under these two programs and recorded compensation expense of approximately $3 million, $3 million and $3 million, respectively.</w:t>
      </w:r>
    </w:p>
    <w:p>
      <w:pPr>
        <w:spacing w:after="0" w:line="18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Profit Sharing and Post-employment Benefit Plans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contribute to defined contribution plans for the benefit of employees who meet certain eligibility requirements and who elect participation in the plans. The discretionary amount to be matched by us is determined annually by Host Inc.’s Board of Directors. Our liability recorded for this obligation is not material. Payments for these items were not material for the three years ended December 31, 2025.</w:t>
      </w:r>
    </w:p>
    <w:p>
      <w:pPr>
        <w:spacing w:after="0" w:line="172" w:lineRule="exact"/>
        <w:rPr>
          <w:sz w:val="20"/>
          <w:szCs w:val="20"/>
          <w:color w:val="auto"/>
        </w:rPr>
      </w:pPr>
    </w:p>
    <w:p>
      <w:pPr>
        <w:ind w:left="400" w:hanging="392"/>
        <w:spacing w:after="0"/>
        <w:tabs>
          <w:tab w:leader="none" w:pos="40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Dispositions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We disposed of two hotels in 2025 and one hotel in 2023 and recorded aggregate gains on sale of approximately $143 million and $69 million, respectively. The gain on sale of assets is included in other gains on the statement of operations.</w:t>
      </w:r>
    </w:p>
    <w:p>
      <w:pPr>
        <w:spacing w:after="0" w:line="54"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In conjunction with the sale of the Washington Marriott at Metro Center in 2025, we provided a $114 million loan to the buyer. The loan has an initial interest rate of 6.5% and an initial scheduled maturity date of August 28, 2027, which date may be extended by up to 12 months by the exercise of two 6-month extensions, each of which provides for an increase to the interest rate. As of December 31, 2025, the outstanding loan is included in Notes receivable on our balance sheets.</w:t>
      </w:r>
    </w:p>
    <w:p>
      <w:pPr>
        <w:spacing w:after="0" w:line="72"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In conjunction with the sale of The Camby, Autograph Collection in 2023, we provided a $72 million loan to the buyer. The loan had an initial interest rate equal to Term SOFR plus 425 basis points and an initial scheduled maturity date of June 10, 2025. An additional $7 million in funding was borrowed for property improvement plan financing. The loan was repaid in February 2025.</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2025, The St. Regis Houston was classified as held for sale. Subsequent to year end, we sold the hotel for $51 million and will record a gain on sale of approximately $18 million during the first quarter of 2026.</w:t>
      </w:r>
    </w:p>
    <w:p>
      <w:pPr>
        <w:spacing w:after="0" w:line="15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addition, subsequent to year end, we sold the Four Seasons Resort Orlando at Walt Disney World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Resort and the Four Seasons Resort and Residences Jackson Hole to BDT &amp; MSD Partners for a sales price of $1.1 billion. Teddy Overton, stepson of our Chief Executive Officer, James Risoleo, is a Principal at BDT &amp; MSD Partners and worked on the transaction on behalf of BDT &amp; MSD Partners. Mr. Risoleo did not participate in the negotiations with BDT &amp; MSD Partners. We evaluated this relationship in accordance with ASC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and determined that the transaction constitutes a related party transaction. The transaction was reviewed and approved by the Company's Board of Directors.</w:t>
      </w:r>
    </w:p>
    <w:p>
      <w:pPr>
        <w:spacing w:after="0" w:line="19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tab/>
        <w:t>Acquisitions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2024, we acquired the following assets:</w:t>
      </w:r>
    </w:p>
    <w:p>
      <w:pPr>
        <w:spacing w:after="0" w:line="117" w:lineRule="exact"/>
        <w:rPr>
          <w:sz w:val="20"/>
          <w:szCs w:val="20"/>
          <w:color w:val="auto"/>
        </w:rPr>
      </w:pPr>
    </w:p>
    <w:p>
      <w:pPr>
        <w:ind w:left="1300" w:hanging="644"/>
        <w:spacing w:after="0"/>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215-room 1 Hotel Nashville and 506-room Embassy Suites by Hilton Nashville Downtown for $530 million;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234-room 1 Hotel Central Park for $265 million; and</w:t>
      </w:r>
    </w:p>
    <w:p>
      <w:pPr>
        <w:spacing w:after="0" w:line="117"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295"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450-room Turtle Bay Resort, including a 49-acre land parcel entitled for development, for a total purchase price of $680 million, net of key money received from Marriott International as part of an agreement to transition management to Marriott and convert the property to The Ritz-Carlton brand. The property has been renamed The Ritz-Carlton O'ahu, Turtle Bay.</w:t>
      </w:r>
    </w:p>
    <w:p>
      <w:pPr>
        <w:spacing w:after="0" w:line="17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Liabilities</w:t>
      </w:r>
    </w:p>
    <w:p>
      <w:pPr>
        <w:spacing w:after="0" w:line="117"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Other Financial Liabilities. </w:t>
      </w:r>
      <w:r>
        <w:rPr>
          <w:rFonts w:ascii="Times New Roman" w:cs="Times New Roman" w:eastAsia="Times New Roman" w:hAnsi="Times New Roman"/>
          <w:sz w:val="18"/>
          <w:szCs w:val="18"/>
          <w:color w:val="auto"/>
        </w:rPr>
        <w:t>We did not elect the fair value measurement option for any of our other financial assets or liabilities.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fair values of our notes receivable, secured debt and our credit facility are determined based on the expected future payments discounted at risk-adjusted rates. Senior notes are valued based on quoted market prices. The fair values of financial instruments not included in this table are estimated to be equal to their carrying amounts. The fair value of certain financial assets and financial liabilities is shown below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270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5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4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20" w:type="dxa"/>
            <w:vAlign w:val="bottom"/>
          </w:tcPr>
          <w:p>
            <w:pPr>
              <w:spacing w:after="0"/>
              <w:rPr>
                <w:sz w:val="16"/>
                <w:szCs w:val="16"/>
                <w:color w:val="auto"/>
              </w:rPr>
            </w:pPr>
          </w:p>
        </w:tc>
        <w:tc>
          <w:tcPr>
            <w:tcW w:w="11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55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50"/>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receivable (Level 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63"/>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2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r>
      <w:tr>
        <w:trPr>
          <w:trHeight w:val="250"/>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notes (Level 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r>
      <w:tr>
        <w:trPr>
          <w:trHeight w:val="263"/>
        </w:trPr>
        <w:tc>
          <w:tcPr>
            <w:tcW w:w="5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Credit facility (Level 2)</w:t>
            </w:r>
          </w:p>
        </w:tc>
        <w:tc>
          <w:tcPr>
            <w:tcW w:w="1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debt (Level 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30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Relationship with Marriott International</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various agreements with Marriott, including those for the management or franchise of approximately 64% of our hotels (as measured by hotel revenues) and certain limited administrative services.</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2025, 2024 and 2023, we paid Marriott $187 million, $180 million and $168 million, respectively, of hotel management fees and approximately $7.6 million, $8.3 million, and $8.1 million, respectively, of franchise fees.</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Hotel Management Agreements and Operating and License Agreements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All of our hotels are managed by third parties pursuant to management or operating agreements, with some of our hotels also being subject to separate franchise or license agreements addressing matters pertaining to operations under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designated brand. Hotels managed or franchised by Marriott and Hyatt represent approximately 64% and 17% of our total hotel revenues, respectively. Under these management or agreements, the managers generally have sole responsibility for all activities necessary for the day-to-day operation of the hotels, including establishing room rates, processing reservations and promoting and publicizing the hotels. The managers also provide all employees for the hotels, prepare reports, budgets and projections, control the working capital, and provide other administrative and accounting support services to the hotels. Costs and expenses incurred by the managers are reimbursed by us. We have approval rights over budgets, capital expenditures, significant leases and contractual commitments, and various other matters.</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initial term of our management or operating agreements for hotels managed by brand owners generally is 10 to 50 years, with one or more renewal terms for certain hotels, at the option of the manager. The majority of our agreements condition the manager’s right to exercise options for renewal upon the satisfaction of specified economic performance criteria. The manager typically receives a base management fee, which is calculated as a percentage (generally 2-3%) of annual gross revenues, and an incentive management fee, which typically is calculated as a percentage (generally 10-20%) of operating profit after the owner has received a priority return on its investment.</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Many of our hotels managed by independent managers are affiliated with a brand through the use of a license or franchise agreement. The term of these license agreements generally are 20 years. Licensors receive compensation in the form of license fees, which is calculated as a percentage (generally 5%) of gross revenues attributable to room sales and, in certain instances, a certain percentage (generally 2%) of gross revenues attributable to food and beverage sales. The hotel also pays the franchise or licensor certain system fees and reimbursable expenses.</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Pursuant to the management or operating agreements, the manager furnishes the hotels with certain chain services, which generally are provided on a central or regional basis to all hotels managed by the manager. Chain services include central training, advertising and promotion, national reservation systems, computerized payroll and accounting services, and such additional services as needed which may be more efficiently performed on a centralized basis. Costs and expenses incurred in providing such services are allocated among the hotels managed, owned or leased by the manager on a fair and equitable basis. In addition, our managers generally sponsor a guest rewards program, the costs of which are charged to all of the hotels that participate in such program.</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those hotels managed by independent managers and affiliated with a brand through the use of a license or franchise agreement, these franchise or license agreements address matters pertaining to the use of the designated brand, including rights to use trademarks, service marks and logos, matters relating to compliance with certain brand standards and policies, and the provisions of certain system programs (including reservations) and centralized services. The franchise or license agreement allows the hotel to participate in any guest rewards program operated by its affiliate brand.</w:t>
      </w:r>
    </w:p>
    <w:p>
      <w:pPr>
        <w:spacing w:after="0" w:line="180" w:lineRule="exact"/>
        <w:rPr>
          <w:sz w:val="20"/>
          <w:szCs w:val="20"/>
          <w:color w:val="auto"/>
        </w:rPr>
      </w:pPr>
    </w:p>
    <w:p>
      <w:pPr>
        <w:jc w:val="both"/>
        <w:ind w:right="440" w:firstLine="648"/>
        <w:spacing w:after="0" w:line="261" w:lineRule="auto"/>
        <w:rPr>
          <w:sz w:val="20"/>
          <w:szCs w:val="20"/>
          <w:color w:val="auto"/>
        </w:rPr>
      </w:pPr>
      <w:r>
        <w:rPr>
          <w:rFonts w:ascii="Times New Roman" w:cs="Times New Roman" w:eastAsia="Times New Roman" w:hAnsi="Times New Roman"/>
          <w:sz w:val="18"/>
          <w:szCs w:val="18"/>
          <w:color w:val="auto"/>
        </w:rPr>
        <w:t>We are obligated to provide the manager with sufficient funds, generally 4-5% of the revenues generated at the hotel, to cover the cost of (a) certain non-routine repairs and maintenance to the hotels which normally are capitalized, and (b) replacements and renewals to the hotels’ furniture, fixtures and equipment. Under certain circumstances, we will be required to establish escrow accounts for such purposes under terms outlined in the agreements.</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generally are limited in our ability to sell, lease or otherwise transfer our hotels unless the transferee assumes the related management or operating agreement, in the case of a hotel managed by a brand owner, or the related franchise or license agreement for an independently managed hotel that is affiliated with a brand. However, for many brand owner managed hotels, we have negotiated for rights to terminate on the basis of the manager’s failure to meet certain performance-based metrics. Typically, these criteria are subject to the manager’s ability to ‘cure’ and avoid termination by payment to us of specified deficiency amounts (or, in some instances, waiver of the right to receive specified future management fees).</w:t>
      </w:r>
    </w:p>
    <w:p>
      <w:pPr>
        <w:spacing w:after="0" w:line="18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addition to any performance-based or other termination rights, we have negotiated specific termination rights related to specific brand owner managed hotels. These termination rights can take a number of different forms, including termination of agreements upon sale that leave the property unencumbered by any agreement; termination of the brand owner's management upon sale provided that the property continues to be operated under a license or franchise agreement with continued brand affiliation; the conversion of the current brand to another brand and termination without sale or other condition, which may require the payment of a fee. We have also negotiated termination rights related to many independently managed management or operating agreements and many franchise or license agreements.</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Geographic and Business Segment Information</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chief operating decision maker ("CODM") is our chief executive officer. We consider each one of our hotels to be an operating segment, as we allocate resources and assess operating performance based on individual hotels. All of our hotels meet the aggregation criteria for segment reporting and our other real estate investment activities (primarily our condominium sales, equity method investments, retail spaces and office buildings) are immaterial. As such, we report one segment: hotel ownership. Our consolidated foreign operations consist of hotels in two countries as of December 31, 2025. There were no intersegment sales during the periods presented. The following table presents revenues and long-lived assets for each of the geographical areas in which we operate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Property and</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56"/>
              <w:spacing w:after="0" w:line="131" w:lineRule="exact"/>
              <w:rPr>
                <w:sz w:val="20"/>
                <w:szCs w:val="20"/>
                <w:color w:val="auto"/>
              </w:rPr>
            </w:pPr>
            <w:r>
              <w:rPr>
                <w:rFonts w:ascii="Times New Roman" w:cs="Times New Roman" w:eastAsia="Times New Roman" w:hAnsi="Times New Roman"/>
                <w:sz w:val="14"/>
                <w:szCs w:val="14"/>
                <w:b w:val="1"/>
                <w:bCs w:val="1"/>
                <w:color w:val="auto"/>
              </w:rPr>
              <w:t>Property and</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Property and</w:t>
            </w: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Equipment, net</w:t>
            </w: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Equipment, net</w:t>
            </w: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Equipment, net</w:t>
            </w:r>
          </w:p>
        </w:tc>
        <w:tc>
          <w:tcPr>
            <w:tcW w:w="0" w:type="dxa"/>
            <w:vAlign w:val="bottom"/>
          </w:tcPr>
          <w:p>
            <w:pPr>
              <w:spacing w:after="0"/>
              <w:rPr>
                <w:sz w:val="1"/>
                <w:szCs w:val="1"/>
                <w:color w:val="auto"/>
              </w:rPr>
            </w:pPr>
          </w:p>
        </w:tc>
      </w:tr>
      <w:tr>
        <w:trPr>
          <w:trHeight w:val="255"/>
        </w:trPr>
        <w:tc>
          <w:tcPr>
            <w:tcW w:w="27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100" w:type="dxa"/>
            <w:vAlign w:val="bottom"/>
            <w:tcBorders>
              <w:top w:val="single" w:sz="8" w:color="CFF0FC"/>
            </w:tcBorders>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00" w:type="dxa"/>
            <w:vAlign w:val="bottom"/>
            <w:tcBorders>
              <w:top w:val="single" w:sz="8" w:color="CFF0FC"/>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10,852</w:t>
            </w:r>
          </w:p>
        </w:tc>
        <w:tc>
          <w:tcPr>
            <w:tcW w:w="100" w:type="dxa"/>
            <w:vAlign w:val="bottom"/>
            <w:tcBorders>
              <w:top w:val="single" w:sz="8" w:color="CFF0FC"/>
            </w:tcBorders>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8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0" w:type="dxa"/>
            <w:vAlign w:val="bottom"/>
          </w:tcPr>
          <w:p>
            <w:pPr>
              <w:spacing w:after="0"/>
              <w:rPr>
                <w:sz w:val="1"/>
                <w:szCs w:val="1"/>
                <w:color w:val="auto"/>
              </w:rPr>
            </w:pPr>
          </w:p>
        </w:tc>
      </w:tr>
      <w:tr>
        <w:trPr>
          <w:trHeight w:val="25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7"/>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6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CODM's primary measure of performance for our reportable segment is Earnings Before Interest Expense, Income Taxes, Depreciation and Amortization ("EBITDA"). The CODM uses EBITDA to analyze how profitable a hotel is, including reviewing how each department at the hotel performed, in comparison to budget and in comparison to prior year performance, when making capital allocation decisions. We do not allocate corporate level income and expenses to segments. Our CODM does not use asset book values in assessing performance or allocating resources for our operating segments and therefore this information is not disclosed.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revenues, significant expenses, and EBITDA for our reportable segment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Hotel</w:t>
            </w:r>
          </w:p>
        </w:tc>
        <w:tc>
          <w:tcPr>
            <w:tcW w:w="220" w:type="dxa"/>
            <w:vAlign w:val="bottom"/>
          </w:tcPr>
          <w:p>
            <w:pPr>
              <w:spacing w:after="0"/>
              <w:rPr>
                <w:sz w:val="11"/>
                <w:szCs w:val="11"/>
                <w:color w:val="auto"/>
              </w:rPr>
            </w:pPr>
          </w:p>
        </w:tc>
        <w:tc>
          <w:tcPr>
            <w:tcW w:w="78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Hotel</w:t>
            </w:r>
          </w:p>
        </w:tc>
        <w:tc>
          <w:tcPr>
            <w:tcW w:w="220" w:type="dxa"/>
            <w:vAlign w:val="bottom"/>
          </w:tcPr>
          <w:p>
            <w:pPr>
              <w:spacing w:after="0"/>
              <w:rPr>
                <w:sz w:val="11"/>
                <w:szCs w:val="11"/>
                <w:color w:val="auto"/>
              </w:rPr>
            </w:pPr>
          </w:p>
        </w:tc>
        <w:tc>
          <w:tcPr>
            <w:tcW w:w="8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w w:val="97"/>
              </w:rPr>
              <w:t>Hotel</w:t>
            </w:r>
          </w:p>
        </w:tc>
        <w:tc>
          <w:tcPr>
            <w:tcW w:w="240" w:type="dxa"/>
            <w:vAlign w:val="bottom"/>
          </w:tcPr>
          <w:p>
            <w:pPr>
              <w:spacing w:after="0"/>
              <w:rPr>
                <w:sz w:val="11"/>
                <w:szCs w:val="11"/>
                <w:color w:val="auto"/>
              </w:rPr>
            </w:pPr>
          </w:p>
        </w:tc>
        <w:tc>
          <w:tcPr>
            <w:tcW w:w="78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Condominium sales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departmental and support expenses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 fees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property-level expenses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ind w:left="140"/>
              <w:spacing w:after="0" w:line="207" w:lineRule="exact"/>
              <w:rPr>
                <w:sz w:val="20"/>
                <w:szCs w:val="20"/>
                <w:color w:val="auto"/>
              </w:rPr>
            </w:pPr>
            <w:r>
              <w:rPr>
                <w:rFonts w:ascii="Times New Roman" w:cs="Times New Roman" w:eastAsia="Times New Roman" w:hAnsi="Times New Roman"/>
                <w:sz w:val="18"/>
                <w:szCs w:val="18"/>
                <w:color w:val="auto"/>
              </w:rPr>
              <w:t>Other segment items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EBITDA</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7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7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Adjustments and reconciling items:</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0"/>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gain on property insurance settlements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gains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 earnings of affiliates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Income</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349"/>
        </w:trPr>
        <w:tc>
          <w:tcPr>
            <w:tcW w:w="4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_____________</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300" w:hanging="652"/>
        <w:spacing w:after="0" w:line="278" w:lineRule="auto"/>
        <w:tabs>
          <w:tab w:leader="none" w:pos="65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consist of gain on business interruption proceeds. This amount, combined with net gain on property insurance settlements, make up the amount of net gain on insurance settlements on our consolidated statements of operations.</w:t>
      </w:r>
    </w:p>
    <w:p>
      <w:pPr>
        <w:spacing w:after="0" w:line="17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Legal Proceedings, Guarantees and Contingencies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Various legal proceedings arise in the ordinary course of our business regarding the operation of our hotels and company matters. To the extent not covered by insurance, these lawsuits generally fall into the following broad categories: disputes involving hotel-level contracts, employment litigation, compliance with laws such as the Americans with Disabilities Act, tax disputes and other general matters. Under our management agreements, our operators have broad latitude to resolve individual hotel-level claims for amounts generally less than $150,000. However, for matters exceeding such threshold, our operators may not settle claims without our consent.</w:t>
      </w:r>
    </w:p>
    <w:p>
      <w:pPr>
        <w:spacing w:after="0" w:line="183"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Based on our analysis of legal proceedings with which the Company and our hotel managers are currently involved or of which we are aware and the resolution of similar claims in the past, we have recorded immaterial accruals as of December 31, 2025 related to such claims. We have estimated that, in the aggregate, our losses related to these proceedings will not be material. We are not aware of any other matters with a reasonably possible unfavorable outcome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which disclosure of a loss contingency is required. No assurances can be given as to the outcome of any pending legal proceedings.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Hurricane Loss Contingencies</w:t>
      </w:r>
    </w:p>
    <w:p>
      <w:pPr>
        <w:spacing w:after="0" w:line="227"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While many of our hotels in Florida were affected by Hurricanes Helene and Milton, which made landfall in September and October 2024, respectively, the most significant damage sustained during the storms occurred at The Don CeSar, which reopened to guests on March 26, 2025, and all amenities reopened by the third quarter of 2025.</w:t>
      </w:r>
    </w:p>
    <w:p>
      <w:pPr>
        <w:spacing w:after="0" w:line="169"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At The Don CeSar, our current estimate of the book value of the property and equipment written off and remediation costs is approximately $64 million, for which we have recorded a corresponding insurance receivable of $64 million. As of December 31, 2025, we have received $73 million of insurance proceeds related to these claims, of which $49 million reduced our receivable to $15 million. The remaining $24 million of these proceeds were recognized as a gain on business interruption, which is included in net gain on insurance settlements on our consolidated statements of operations. Subsequent to year-end, we received an additional $8 million of insurance proceeds, including $7 million of business interruption proceeds. We believe our insurance coverage is sufficient to cover substantially all of the property damage and the near-term loss of business in excess of our insurance deductibles. For certain of our other properties, we have recorded a loss of $6 million for the year ended December 31, 2024 related to property damage and remediation costs for which we will not be filing an insurance claim. The loss is included in net gain on insurance settlements on our consolidated statements of operations.</w:t>
      </w:r>
    </w:p>
    <w:p>
      <w:pPr>
        <w:spacing w:after="0" w:line="18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2024, we received the final payment for the total settlement of $308 million from claims resulting from Hurricane Ian, which made landfall in September 2022. For the years ended December 31, 2024 and 2023, $19 million and $80 million, respectively, was recognized as a gain on business interruption, and $72 million and $3 million, respectively, was recognized as a gain on property insurance, which are both included in net gain on insurance settlements on our consolidated statements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Maui Wildfires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recognized $21 million of business interruption proceeds in 2024 representing the final settlement from claims resulting from the August 2023 wildfires in Maui. This is included in net gain on insurance settlements on our consolidated statements of operations. There was no property damage caused by the event.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Indemnification Agreements</w:t>
      </w:r>
    </w:p>
    <w:p>
      <w:pPr>
        <w:spacing w:after="0" w:line="11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Because of certain federal and state income tax considerations of the former owners of two hotels currently owned by Host L.P., we have agreed to restrictions on selling such hotels, or repaying or refinancing mortgage debt, for varying periods. One of these agreements expires in 2028 and the other in 2031.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Controls and Procedures (Host Hotels &amp; Resorts,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Host Inc.’s Chief Executive Officer and Chief Financial Officer, we have evaluated the effectiveness of our disclosure controls and procedures pursuant to Exchange Act Rule 13a-15(b) as of the end of the period covered by this report. Based on that evaluation, Host Inc.’s Chief Executive Officer and Chief Financial Officer have concluded that these disclosure controls and procedures were effective to provide reasonable assurance that information required to be disclosed by us in reports we file or submit under the Exchange Act is (1) recorded, processed, summarized and reported within the time periods specified in the Securities and Exchange Commission’s rules and forms and (2) accumulated and communicated to our management, including Host Inc.’s Chief Executive Officer and Chief Financial Officer, as appropriate to allow timely decisions regarding required disclosures.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for Host Inc. With the participation of Host Inc.’s Chief Executive Officer and Chief Financial Officer, management conducted an evaluation of the effectiveness of our internal control over financial reporting as of December 31, 2025 based on the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evaluation, management concluded that our internal control over financial reporting was effective as of December 31, 2025. There were no changes in our internal control over financial reporting during the quarter ended December 31, 2025 that have materially affected, or are reasonably likely to materially affect, our internal control over financial reporting.</w:t>
      </w:r>
    </w:p>
    <w:p>
      <w:pPr>
        <w:spacing w:after="0" w:line="7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KPMG LLP, has issued an attestation report on the effectiveness of our internal control over financial reporting of Host Inc., which appears in Item 8.</w:t>
      </w:r>
    </w:p>
    <w:p>
      <w:pPr>
        <w:spacing w:after="0" w:line="158" w:lineRule="exact"/>
        <w:rPr>
          <w:sz w:val="20"/>
          <w:szCs w:val="20"/>
          <w:color w:val="auto"/>
        </w:rPr>
      </w:pPr>
    </w:p>
    <w:p>
      <w:pPr>
        <w:jc w:val="center"/>
        <w:ind w:right="7120"/>
        <w:spacing w:after="0"/>
        <w:rPr>
          <w:sz w:val="20"/>
          <w:szCs w:val="20"/>
          <w:color w:val="auto"/>
        </w:rPr>
      </w:pPr>
      <w:r>
        <w:rPr>
          <w:rFonts w:ascii="Times New Roman" w:cs="Times New Roman" w:eastAsia="Times New Roman" w:hAnsi="Times New Roman"/>
          <w:sz w:val="17"/>
          <w:szCs w:val="17"/>
          <w:b w:val="1"/>
          <w:bCs w:val="1"/>
          <w:i w:val="1"/>
          <w:iCs w:val="1"/>
          <w:color w:val="auto"/>
        </w:rPr>
        <w:t>Controls and Procedures (Host Hotels &amp; Resorts, L.P.)</w:t>
      </w:r>
    </w:p>
    <w:p>
      <w:pPr>
        <w:spacing w:after="0" w:line="129" w:lineRule="exact"/>
        <w:rPr>
          <w:sz w:val="20"/>
          <w:szCs w:val="20"/>
          <w:color w:val="auto"/>
        </w:rPr>
      </w:pPr>
    </w:p>
    <w:p>
      <w:pPr>
        <w:jc w:val="center"/>
        <w:ind w:right="720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Host Inc.’s Chief Executive Officer and Chief Financial Officer, we have evaluated the effectiveness of our disclosure controls and procedures pursuant to Exchange Act Rule 13a-15(b) as of the end of the period covered by this report. Based on that evaluation, Host Inc.’s Chief Executive Officer and Chief Financial Officer have concluded that these disclosure controls and procedures were effective to provide reasonable assurance that information required to be disclosed by us in reports we file or submit under the Exchange Act is (1) recorded, processed, summarized and reported within the time periods specified in the Securities and Exchange Commission’s rules and forms and (2) accumulated and communicated to our management, including Host Inc.’s Chief Executive Officer and Chief Financial Officer, as appropriate to allow timely decisions regarding required disclosures.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for Host L.P. With the participation of Host Inc.’s Chief Executive Officer and Chief Financial Officer, management conducted an evaluation of the effectiveness of our internal control over financial reporting as of December 31, 2025 based on the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evaluation, management concluded that our internal control over financial reporting was effective as of December 31, 2025. There were no changes in our internal control over financial reporting during the quarter ended December 31, 2025 that have materially affected, or are reasonably likely to materially affect, our internal control over financial reporting.</w:t>
      </w:r>
    </w:p>
    <w:p>
      <w:pPr>
        <w:spacing w:after="0" w:line="7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Host L.P.’s independent registered public accounting firm regarding internal control over financial reporting. Management’s report was not subject to attestation by Host L.P.’s registered public accounting firm pursuant to rules of the Securities and Exchange Commission applicable to “non-accelerated filers.”</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 director or officer of Host Inc. adopted, modified or terminated any "Rule 10b5-1 trading arrangement" or "non-Rule 10b5-1 trading arrangement," as each term is defined in Item 408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Certain information called for by Items 10-14 is incorporated by reference from Host Inc.’s 2026 Annual Meeting of Stockholders Notice and Proxy Statement (to be filed pursuant to Regulation 14A not later than 120 days after the close of our fiscal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directors is incorporated by reference to the section of Host Inc.’s definitive Proxy Statement for its 2026 Annual Meeting of Stockholders entitled “Proposal One: Election of Directors.” See Part I. “Information about Our Executive Officers” of this Annual Report for information regarding executive officers.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information required by this item with respect to Audit Committee and Audit Committee Financial Experts is incorporated by reference to the section of Host Inc.’s definitive Proxy Statement for its 2026 Annual Meeting of Stockholders entitled “Corporate Governance and Board Matters.” There have been no material changes to the procedures by which stockholders may recommend nominees to the Board of Directors since our last annual report. If applicable, the information required by this item regarding compliance by our directors and executive officers with Section 16(a) of the Securities and Exchange Act of 1934, as amended, is incorporated by reference to the section of Host Inc.’s definitive Proxy Statement for its 2026 Annual Meeting of Stockholders entitled “Delinquent Section 16(a) Reports.”</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directors and employees, including our Chief Executive Officer, Chief Financial Officer, Corporate Controller and other employees who perform financial or accounting functions. The Code is available at the Corporate Governance section of our website at </w:t>
      </w:r>
      <w:r>
        <w:rPr>
          <w:rFonts w:ascii="Times New Roman" w:cs="Times New Roman" w:eastAsia="Times New Roman" w:hAnsi="Times New Roman"/>
          <w:sz w:val="18"/>
          <w:szCs w:val="18"/>
          <w:u w:val="single" w:color="auto"/>
          <w:color w:val="auto"/>
        </w:rPr>
        <w:t>www.hosthotels.com</w:t>
      </w:r>
      <w:r>
        <w:rPr>
          <w:rFonts w:ascii="Times New Roman" w:cs="Times New Roman" w:eastAsia="Times New Roman" w:hAnsi="Times New Roman"/>
          <w:sz w:val="18"/>
          <w:szCs w:val="18"/>
          <w:color w:val="auto"/>
        </w:rPr>
        <w:t>. A copy of the Code is available in print, free of charge, to stockholders and unitholders upon request to the company at the address set forth in Item 1. of this Annual Report under the section “Business—Where to Find Additional Information.” We intend to satisfy the disclosure requirements under the Securities and Exchange Act of 1934, as amended, regarding an amendment to or waiver from a provision of our Code of Business Conduct and Ethics by posting such information on our web site.</w:t>
      </w:r>
    </w:p>
    <w:p>
      <w:pPr>
        <w:spacing w:after="0" w:line="18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Statement that governs the purchase, sale, and/or other dispositions of our securities by directors, officers and employees that is reasonably designed to promote compliance with insider trading laws, rules and regulations and NASDAQ listing standards. A copy of our Insider Trading Policy Statement is included as Exhibit 19.1 to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of Host Inc.’s definitive Proxy Statement for its 2026 Annual Meeting of Stockholders entitled: “Compensation Discussion and Analysis,” “Executive Officer Compensation" (except for the section within "Executive Officer Compensation" entitled "Pay versus Performance" which shall not be incorporated by reference), and “Director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and Unitholder Matters</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of Host Inc.’s definitive Proxy Statement for its 2026 Annual Meeting of Stockholders entitled: “Security Ownership of Certain Beneficial Owners and Management” and “Executive Officer Compensation—Securities Authorized for Issuance Under Equity Compensation Plans.”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of Host Inc.’s definitive Proxy Statement for its 2026 Annual Meeting of Stockholders entitled: “Certain Relationships and Related Person Transactions” and “Corporate Governance and Board Matters—Independence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 of Host Inc.’s definitive Proxy Statement for its 2026 Annual Meeting of Stockholders entitled “Proposal Two-Ratification of Appointment of Independent Registered Public Accountants – Principal Accountant Fees and Services.”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9"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LIST OF DOCUMENTS FILED AS PART OF THIS REPORT</w:t>
      </w:r>
    </w:p>
    <w:p>
      <w:pPr>
        <w:spacing w:after="0" w:line="119" w:lineRule="exact"/>
        <w:rPr>
          <w:rFonts w:ascii="Times New Roman" w:cs="Times New Roman" w:eastAsia="Times New Roman" w:hAnsi="Times New Roman"/>
          <w:sz w:val="18"/>
          <w:szCs w:val="18"/>
          <w:i w:val="1"/>
          <w:iCs w:val="1"/>
          <w:color w:val="auto"/>
        </w:rPr>
      </w:pPr>
    </w:p>
    <w:p>
      <w:pPr>
        <w:ind w:left="1940" w:hanging="636"/>
        <w:spacing w:after="0"/>
        <w:tabs>
          <w:tab w:leader="none" w:pos="19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All financial statements of the registrants are set forth under Item 8 of this Report on Form 10-K.</w:t>
      </w:r>
    </w:p>
    <w:p>
      <w:pPr>
        <w:spacing w:after="0" w:line="117" w:lineRule="exact"/>
        <w:rPr>
          <w:sz w:val="20"/>
          <w:szCs w:val="20"/>
          <w:color w:val="auto"/>
        </w:rPr>
      </w:pPr>
    </w:p>
    <w:p>
      <w:pPr>
        <w:ind w:left="1940" w:hanging="636"/>
        <w:spacing w:after="0"/>
        <w:tabs>
          <w:tab w:leader="none" w:pos="19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financial information is filed herewith on the pages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Schedules:</w:t>
      </w:r>
    </w:p>
    <w:p>
      <w:pPr>
        <w:spacing w:after="0" w:line="27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33655</wp:posOffset>
            </wp:positionV>
            <wp:extent cx="5657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55" w:lineRule="exact"/>
        <w:rPr>
          <w:sz w:val="20"/>
          <w:szCs w:val="20"/>
          <w:color w:val="auto"/>
        </w:rPr>
      </w:pPr>
    </w:p>
    <w:p>
      <w:pPr>
        <w:ind w:left="2220"/>
        <w:spacing w:after="0"/>
        <w:tabs>
          <w:tab w:leader="none" w:pos="2620" w:val="left"/>
          <w:tab w:leader="none" w:pos="6020" w:val="left"/>
        </w:tabs>
        <w:rPr>
          <w:sz w:val="20"/>
          <w:szCs w:val="20"/>
          <w:color w:val="auto"/>
        </w:rPr>
      </w:pPr>
      <w:r>
        <w:rPr>
          <w:rFonts w:ascii="Times New Roman" w:cs="Times New Roman" w:eastAsia="Times New Roman" w:hAnsi="Times New Roman"/>
          <w:sz w:val="18"/>
          <w:szCs w:val="18"/>
          <w:color w:val="auto"/>
        </w:rPr>
        <w:t>III.</w:t>
        <w:tab/>
        <w:t>Real Estate and Accumulated Depreciation.</w:t>
        <w:tab/>
        <w:t>S-1 to S-5</w:t>
      </w:r>
    </w:p>
    <w:p>
      <w:pPr>
        <w:spacing w:after="0" w:line="33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the required information is included in the consolidated financial statements or notes thereto.</w:t>
      </w:r>
    </w:p>
    <w:p>
      <w:pPr>
        <w:spacing w:after="0" w:line="52" w:lineRule="exact"/>
        <w:rPr>
          <w:sz w:val="20"/>
          <w:szCs w:val="20"/>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In reviewing the agreements included as exhibits to this report, please remember they are included to provide you with information regarding their terms and are not intended to provide any other factual or disclosure information about the company, its subsidiaries or other parties to the agreements. The agreements contain representations and warranties by each of the parties to the applicable agreement. These representations and warranties have been made solely for the benefit of the other parties to the applicable agreement and:</w:t>
      </w:r>
    </w:p>
    <w:p>
      <w:pPr>
        <w:spacing w:after="0" w:line="72" w:lineRule="exact"/>
        <w:rPr>
          <w:sz w:val="20"/>
          <w:szCs w:val="20"/>
          <w:color w:val="auto"/>
        </w:rPr>
      </w:pPr>
    </w:p>
    <w:p>
      <w:pPr>
        <w:ind w:left="1300" w:right="20" w:hanging="644"/>
        <w:spacing w:after="0" w:line="284" w:lineRule="auto"/>
        <w:tabs>
          <w:tab w:leader="none" w:pos="12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should not in all instances be treated as categorical statements of fact, but rather as a way of allocating the risk to one of the parties if those statements prove to be inaccurate;</w:t>
      </w:r>
    </w:p>
    <w:p>
      <w:pPr>
        <w:spacing w:after="0" w:line="50" w:lineRule="exact"/>
        <w:rPr>
          <w:rFonts w:ascii="Times New Roman" w:cs="Times New Roman" w:eastAsia="Times New Roman" w:hAnsi="Times New Roman"/>
          <w:sz w:val="18"/>
          <w:szCs w:val="18"/>
          <w:color w:val="auto"/>
        </w:rPr>
      </w:pPr>
    </w:p>
    <w:p>
      <w:pPr>
        <w:ind w:left="1300" w:right="180" w:hanging="644"/>
        <w:spacing w:after="0" w:line="284" w:lineRule="auto"/>
        <w:tabs>
          <w:tab w:leader="none" w:pos="12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have been qualified by disclosures that were made to the other party in connection with the negotiation of the applicable agreement, which disclosures are not necessarily reflected in the agreement;</w:t>
      </w:r>
    </w:p>
    <w:p>
      <w:pPr>
        <w:spacing w:after="0" w:line="5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may apply standards of materiality in a way that is different from what may be viewed as material to you or other investors; and</w:t>
      </w:r>
    </w:p>
    <w:p>
      <w:pPr>
        <w:spacing w:after="0" w:line="117" w:lineRule="exact"/>
        <w:rPr>
          <w:rFonts w:ascii="Times New Roman" w:cs="Times New Roman" w:eastAsia="Times New Roman" w:hAnsi="Times New Roman"/>
          <w:sz w:val="18"/>
          <w:szCs w:val="18"/>
          <w:color w:val="auto"/>
        </w:rPr>
      </w:pPr>
    </w:p>
    <w:p>
      <w:pPr>
        <w:ind w:left="1300" w:right="220" w:hanging="644"/>
        <w:spacing w:after="0" w:line="284" w:lineRule="auto"/>
        <w:tabs>
          <w:tab w:leader="none" w:pos="12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were made only as of the date of the applicable agreement or such other date or dates as may be specified in the agreement and are subject to more recent developments.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Accordingly, these representations and warranties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8572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3.</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62147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Incorporation and Bylaws</w:t>
      </w:r>
    </w:p>
    <w:p>
      <w:pPr>
        <w:spacing w:after="0" w:line="81" w:lineRule="exact"/>
        <w:rPr>
          <w:sz w:val="20"/>
          <w:szCs w:val="20"/>
          <w:color w:val="auto"/>
        </w:rPr>
      </w:pPr>
    </w:p>
    <w:p>
      <w:pPr>
        <w:ind w:right="380"/>
        <w:spacing w:after="0" w:line="237" w:lineRule="auto"/>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Composite Charter of Host Hotels &amp; Resorts, Inc., dated July 18, 2016 (incorporated by reference to Exhibit 4.1 to Host Hotels &amp;</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Resorts, Inc. Registration Statement on Form S-8 (SEC File No. 333-212569), filed on July 18, 2016).</w:t>
        </w:r>
      </w:hyperlink>
    </w:p>
    <w:p>
      <w:pPr>
        <w:spacing w:after="0" w:line="51" w:lineRule="exact"/>
        <w:rPr>
          <w:sz w:val="20"/>
          <w:szCs w:val="20"/>
          <w:color w:val="auto"/>
        </w:rPr>
      </w:pPr>
    </w:p>
    <w:p>
      <w:pPr>
        <w:sectPr>
          <w:pgSz w:w="11900" w:h="16838" w:orient="portrait"/>
          <w:cols w:equalWidth="0" w:num="2">
            <w:col w:w="920" w:space="560"/>
            <w:col w:w="9720"/>
          </w:cols>
          <w:pgMar w:left="320" w:top="121" w:right="37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9700" w:type="dxa"/>
            <w:vAlign w:val="bottom"/>
            <w:gridSpan w:val="6"/>
          </w:tcPr>
          <w:p>
            <w:pPr>
              <w:spacing w:after="0"/>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Fourth Amended and Restated Agreement of Limited Partnership of Host Hotels &amp; Resorts, L.P. dated October 31, 2022 (incorporated</w:t>
              </w:r>
            </w:hyperlink>
          </w:p>
        </w:tc>
      </w:tr>
      <w:tr>
        <w:trPr>
          <w:trHeight w:val="156"/>
        </w:trPr>
        <w:tc>
          <w:tcPr>
            <w:tcW w:w="1460" w:type="dxa"/>
            <w:vAlign w:val="bottom"/>
          </w:tcPr>
          <w:p>
            <w:pPr>
              <w:spacing w:after="0"/>
              <w:rPr>
                <w:sz w:val="13"/>
                <w:szCs w:val="13"/>
                <w:color w:val="auto"/>
              </w:rPr>
            </w:pPr>
          </w:p>
        </w:tc>
        <w:tc>
          <w:tcPr>
            <w:tcW w:w="968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by reference to Exhibit 3.1A of Host Hotels &amp; Resorts, Inc. and Host Hotels &amp; Resorts, L.P.’s Quarterly Report on Form 10-Q for the</w:t>
              </w:r>
            </w:hyperlink>
          </w:p>
        </w:tc>
        <w:tc>
          <w:tcPr>
            <w:tcW w:w="20" w:type="dxa"/>
            <w:vAlign w:val="bottom"/>
          </w:tcPr>
          <w:p>
            <w:pPr>
              <w:spacing w:after="0"/>
              <w:rPr>
                <w:sz w:val="13"/>
                <w:szCs w:val="13"/>
                <w:color w:val="auto"/>
              </w:rPr>
            </w:pPr>
          </w:p>
        </w:tc>
      </w:tr>
      <w:tr>
        <w:trPr>
          <w:trHeight w:val="169"/>
        </w:trPr>
        <w:tc>
          <w:tcPr>
            <w:tcW w:w="1460" w:type="dxa"/>
            <w:vAlign w:val="bottom"/>
          </w:tcPr>
          <w:p>
            <w:pPr>
              <w:spacing w:after="0"/>
              <w:rPr>
                <w:sz w:val="14"/>
                <w:szCs w:val="14"/>
                <w:color w:val="auto"/>
              </w:rPr>
            </w:pPr>
          </w:p>
        </w:tc>
        <w:tc>
          <w:tcPr>
            <w:tcW w:w="9600" w:type="dxa"/>
            <w:vAlign w:val="bottom"/>
            <w:tcBorders>
              <w:top w:val="single" w:sz="8" w:color="0000FF"/>
            </w:tcBorders>
            <w:gridSpan w:val="3"/>
          </w:tcPr>
          <w:p>
            <w:pPr>
              <w:spacing w:after="0" w:line="16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quarterly period ended September 30, 2022, filed on November 4, 2022).</w:t>
              </w:r>
            </w:hyperlink>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0"/>
        </w:trPr>
        <w:tc>
          <w:tcPr>
            <w:tcW w:w="1460" w:type="dxa"/>
            <w:vAlign w:val="bottom"/>
          </w:tcPr>
          <w:p>
            <w:pPr>
              <w:spacing w:after="0" w:line="20" w:lineRule="exact"/>
              <w:rPr>
                <w:sz w:val="1"/>
                <w:szCs w:val="1"/>
                <w:color w:val="auto"/>
              </w:rPr>
            </w:pPr>
          </w:p>
        </w:tc>
        <w:tc>
          <w:tcPr>
            <w:tcW w:w="52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700" w:type="dxa"/>
            <w:vAlign w:val="bottom"/>
            <w:gridSpan w:val="6"/>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Amended and Restated Bylaws of Host Hotels &amp; Resorts, Inc., effective February 8, 2023 (incorporated by reference to Exhibit 3.2 of</w:t>
              </w:r>
            </w:hyperlink>
          </w:p>
        </w:tc>
      </w:tr>
      <w:tr>
        <w:trPr>
          <w:trHeight w:val="155"/>
        </w:trPr>
        <w:tc>
          <w:tcPr>
            <w:tcW w:w="146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Host Hotels &amp; Resorts, Inc.’s Current Report on Form 8-K, filed on February 13, 2023).</w:t>
              </w:r>
            </w:hyperlink>
          </w:p>
        </w:tc>
        <w:tc>
          <w:tcPr>
            <w:tcW w:w="3300" w:type="dxa"/>
            <w:vAlign w:val="bottom"/>
            <w:tcBorders>
              <w:top w:val="single" w:sz="8" w:color="0000FF"/>
            </w:tcBorders>
            <w:gridSpan w:val="2"/>
          </w:tcPr>
          <w:p>
            <w:pPr>
              <w:spacing w:after="0"/>
              <w:rPr>
                <w:sz w:val="13"/>
                <w:szCs w:val="13"/>
                <w:color w:val="auto"/>
              </w:rPr>
            </w:pPr>
          </w:p>
        </w:tc>
        <w:tc>
          <w:tcPr>
            <w:tcW w:w="60" w:type="dxa"/>
            <w:vAlign w:val="bottom"/>
            <w:gridSpan w:val="2"/>
          </w:tcPr>
          <w:p>
            <w:pPr>
              <w:spacing w:after="0"/>
              <w:rPr>
                <w:sz w:val="13"/>
                <w:szCs w:val="13"/>
                <w:color w:val="auto"/>
              </w:rPr>
            </w:pPr>
          </w:p>
        </w:tc>
      </w:tr>
    </w:tbl>
    <w:p>
      <w:pPr>
        <w:spacing w:after="0" w:line="86" w:lineRule="exact"/>
        <w:rPr>
          <w:sz w:val="20"/>
          <w:szCs w:val="20"/>
          <w:color w:val="auto"/>
        </w:rPr>
      </w:pPr>
    </w:p>
    <w:p>
      <w:pPr>
        <w:ind w:left="1480" w:hanging="1454"/>
        <w:spacing w:after="0"/>
        <w:tabs>
          <w:tab w:leader="none" w:pos="14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Instruments Defining Rights of Security Holders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7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See Exhibit 3.1 and 3.2 for provisions of the Articles and Bylaws of Host Hotels &amp; Resorts, Inc. defining the rights of security holders.</w:t>
            </w:r>
          </w:p>
        </w:tc>
      </w:tr>
      <w:tr>
        <w:trPr>
          <w:trHeight w:val="184"/>
        </w:trPr>
        <w:tc>
          <w:tcPr>
            <w:tcW w:w="1460" w:type="dxa"/>
            <w:vAlign w:val="bottom"/>
          </w:tcPr>
          <w:p>
            <w:pPr>
              <w:spacing w:after="0"/>
              <w:rPr>
                <w:sz w:val="16"/>
                <w:szCs w:val="16"/>
                <w:color w:val="auto"/>
              </w:rPr>
            </w:pPr>
          </w:p>
        </w:tc>
        <w:tc>
          <w:tcPr>
            <w:tcW w:w="9760" w:type="dxa"/>
            <w:vAlign w:val="bottom"/>
            <w:gridSpan w:val="22"/>
          </w:tcPr>
          <w:p>
            <w:pPr>
              <w:spacing w:after="0" w:line="184" w:lineRule="exact"/>
              <w:rPr>
                <w:sz w:val="20"/>
                <w:szCs w:val="20"/>
                <w:color w:val="auto"/>
              </w:rPr>
            </w:pPr>
            <w:r>
              <w:rPr>
                <w:rFonts w:ascii="Times New Roman" w:cs="Times New Roman" w:eastAsia="Times New Roman" w:hAnsi="Times New Roman"/>
                <w:sz w:val="18"/>
                <w:szCs w:val="18"/>
                <w:color w:val="auto"/>
              </w:rPr>
              <w:t>See Exhibit 3.1A for provisions of the Agreement of Limited Partnership of Host Hotels &amp; Resorts, L.P. defining the rights of security</w:t>
            </w:r>
          </w:p>
        </w:tc>
      </w:tr>
      <w:tr>
        <w:trPr>
          <w:trHeight w:val="234"/>
        </w:trPr>
        <w:tc>
          <w:tcPr>
            <w:tcW w:w="1460" w:type="dxa"/>
            <w:vAlign w:val="bottom"/>
          </w:tcPr>
          <w:p>
            <w:pPr>
              <w:spacing w:after="0"/>
              <w:rPr>
                <w:sz w:val="20"/>
                <w:szCs w:val="20"/>
                <w:color w:val="auto"/>
              </w:rPr>
            </w:pPr>
          </w:p>
        </w:tc>
        <w:tc>
          <w:tcPr>
            <w:tcW w:w="97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holders.</w:t>
            </w:r>
          </w:p>
        </w:tc>
      </w:tr>
      <w:tr>
        <w:trPr>
          <w:trHeight w:val="24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760" w:type="dxa"/>
            <w:vAlign w:val="bottom"/>
            <w:gridSpan w:val="22"/>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Form of Common Stock Certificate (incorporated herein by reference to Exhibit 4.7 to Host Marriott Corporation’s Amendment No. 4</w:t>
              </w:r>
            </w:hyperlink>
          </w:p>
        </w:tc>
      </w:tr>
      <w:tr>
        <w:trPr>
          <w:trHeight w:val="156"/>
        </w:trPr>
        <w:tc>
          <w:tcPr>
            <w:tcW w:w="1460" w:type="dxa"/>
            <w:vAlign w:val="bottom"/>
          </w:tcPr>
          <w:p>
            <w:pPr>
              <w:spacing w:after="0"/>
              <w:rPr>
                <w:sz w:val="13"/>
                <w:szCs w:val="13"/>
                <w:color w:val="auto"/>
              </w:rPr>
            </w:pPr>
          </w:p>
        </w:tc>
        <w:tc>
          <w:tcPr>
            <w:tcW w:w="96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to its Registration Statement on Form S-4 (SEC File No. 333-55807), filed on October 2, 1998).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760" w:type="dxa"/>
            <w:vAlign w:val="bottom"/>
            <w:gridSpan w:val="22"/>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Indenture, dated May 15, 2015, by and between Host Hotels &amp; Resorts, L.P. and The Bank of New York Mellon, as trustee</w:t>
              </w:r>
            </w:hyperlink>
          </w:p>
        </w:tc>
      </w:tr>
      <w:tr>
        <w:trPr>
          <w:trHeight w:val="20"/>
        </w:trPr>
        <w:tc>
          <w:tcPr>
            <w:tcW w:w="146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460" w:type="dxa"/>
            <w:vAlign w:val="bottom"/>
          </w:tcPr>
          <w:p>
            <w:pPr>
              <w:spacing w:after="0"/>
              <w:rPr>
                <w:sz w:val="13"/>
                <w:szCs w:val="13"/>
                <w:color w:val="auto"/>
              </w:rPr>
            </w:pPr>
          </w:p>
        </w:tc>
        <w:tc>
          <w:tcPr>
            <w:tcW w:w="9760" w:type="dxa"/>
            <w:vAlign w:val="bottom"/>
            <w:gridSpan w:val="22"/>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(incorporated by reference to Exhibit 4.1 to Host Hotels &amp; Resorts, Inc., and Host Hotels &amp; Resorts, L.P. Current Report on Form 8-K,</w:t>
              </w:r>
            </w:hyperlink>
          </w:p>
        </w:tc>
      </w:tr>
      <w:tr>
        <w:trPr>
          <w:trHeight w:val="169"/>
        </w:trPr>
        <w:tc>
          <w:tcPr>
            <w:tcW w:w="1460" w:type="dxa"/>
            <w:vAlign w:val="bottom"/>
          </w:tcPr>
          <w:p>
            <w:pPr>
              <w:spacing w:after="0"/>
              <w:rPr>
                <w:sz w:val="14"/>
                <w:szCs w:val="14"/>
                <w:color w:val="auto"/>
              </w:rPr>
            </w:pPr>
          </w:p>
        </w:tc>
        <w:tc>
          <w:tcPr>
            <w:tcW w:w="14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79">
              <w:r>
                <w:rPr>
                  <w:rFonts w:ascii="Times New Roman" w:cs="Times New Roman" w:eastAsia="Times New Roman" w:hAnsi="Times New Roman"/>
                  <w:sz w:val="18"/>
                  <w:szCs w:val="18"/>
                  <w:color w:val="0000FF"/>
                  <w:w w:val="98"/>
                </w:rPr>
                <w:t>filed May 18, 2015).</w:t>
              </w:r>
            </w:hyperlink>
          </w:p>
        </w:tc>
        <w:tc>
          <w:tcPr>
            <w:tcW w:w="822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9760" w:type="dxa"/>
            <w:vAlign w:val="bottom"/>
            <w:gridSpan w:val="22"/>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Fifth Supplemental Indenture, dated September 26, 2019, by and between Host Hotels &amp; Resorts, L.P. and The Bank of New York</w:t>
              </w:r>
            </w:hyperlink>
          </w:p>
        </w:tc>
      </w:tr>
      <w:tr>
        <w:trPr>
          <w:trHeight w:val="20"/>
        </w:trPr>
        <w:tc>
          <w:tcPr>
            <w:tcW w:w="1460" w:type="dxa"/>
            <w:vAlign w:val="bottom"/>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460" w:type="dxa"/>
            <w:vAlign w:val="bottom"/>
          </w:tcPr>
          <w:p>
            <w:pPr>
              <w:spacing w:after="0"/>
              <w:rPr>
                <w:sz w:val="13"/>
                <w:szCs w:val="13"/>
                <w:color w:val="auto"/>
              </w:rPr>
            </w:pPr>
          </w:p>
        </w:tc>
        <w:tc>
          <w:tcPr>
            <w:tcW w:w="9760" w:type="dxa"/>
            <w:vAlign w:val="bottom"/>
            <w:gridSpan w:val="22"/>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Mellon, as trustee, to the Indenture dated May 15, 2015 (incorporated by reference to Exhibit 4.1 to Host Hotels &amp; Resorts, Inc. and</w:t>
              </w:r>
            </w:hyperlink>
          </w:p>
        </w:tc>
      </w:tr>
      <w:tr>
        <w:trPr>
          <w:trHeight w:val="169"/>
        </w:trPr>
        <w:tc>
          <w:tcPr>
            <w:tcW w:w="1460" w:type="dxa"/>
            <w:vAlign w:val="bottom"/>
          </w:tcPr>
          <w:p>
            <w:pPr>
              <w:spacing w:after="0"/>
              <w:rPr>
                <w:sz w:val="14"/>
                <w:szCs w:val="14"/>
                <w:color w:val="auto"/>
              </w:rPr>
            </w:pPr>
          </w:p>
        </w:tc>
        <w:tc>
          <w:tcPr>
            <w:tcW w:w="630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Host Hotels &amp; Resorts, L.P. Current Report on Form 8-K filed on September 26, 2019).</w:t>
              </w:r>
            </w:hyperlink>
          </w:p>
        </w:tc>
        <w:tc>
          <w:tcPr>
            <w:tcW w:w="3200" w:type="dxa"/>
            <w:vAlign w:val="bottom"/>
            <w:tcBorders>
              <w:top w:val="single" w:sz="8" w:color="0000FF"/>
            </w:tcBorders>
            <w:gridSpan w:val="9"/>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9760" w:type="dxa"/>
            <w:vAlign w:val="bottom"/>
            <w:gridSpan w:val="22"/>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Sixth Supplemental Indenture, dated August 20, 2020, by and between Host Hotels &amp; Resorts, L.P. and The Bank of New York</w:t>
              </w:r>
            </w:hyperlink>
          </w:p>
        </w:tc>
      </w:tr>
      <w:tr>
        <w:trPr>
          <w:trHeight w:val="155"/>
        </w:trPr>
        <w:tc>
          <w:tcPr>
            <w:tcW w:w="1460" w:type="dxa"/>
            <w:vAlign w:val="bottom"/>
          </w:tcPr>
          <w:p>
            <w:pPr>
              <w:spacing w:after="0"/>
              <w:rPr>
                <w:sz w:val="13"/>
                <w:szCs w:val="13"/>
                <w:color w:val="auto"/>
              </w:rPr>
            </w:pPr>
          </w:p>
        </w:tc>
        <w:tc>
          <w:tcPr>
            <w:tcW w:w="91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Mellon, as trustee, to the Indenture dated May 15, 2015 (incorporated by reference to Exhibit 4.1 to Host Hotels &amp; Resorts, Inc.</w:t>
              </w:r>
            </w:hyperlink>
          </w:p>
        </w:tc>
        <w:tc>
          <w:tcPr>
            <w:tcW w:w="620" w:type="dxa"/>
            <w:vAlign w:val="bottom"/>
            <w:gridSpan w:val="12"/>
          </w:tcPr>
          <w:p>
            <w:pPr>
              <w:ind w:left="100"/>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and</w:t>
              </w:r>
            </w:hyperlink>
          </w:p>
        </w:tc>
      </w:tr>
      <w:tr>
        <w:trPr>
          <w:trHeight w:val="169"/>
        </w:trPr>
        <w:tc>
          <w:tcPr>
            <w:tcW w:w="1460" w:type="dxa"/>
            <w:vAlign w:val="bottom"/>
          </w:tcPr>
          <w:p>
            <w:pPr>
              <w:spacing w:after="0"/>
              <w:rPr>
                <w:sz w:val="14"/>
                <w:szCs w:val="14"/>
                <w:color w:val="auto"/>
              </w:rPr>
            </w:pPr>
          </w:p>
        </w:tc>
        <w:tc>
          <w:tcPr>
            <w:tcW w:w="950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Host Hotels &amp; Resorts, L.P. Current Report on Form 8-K filed on August 21, 2020).</w:t>
              </w:r>
            </w:hyperlink>
          </w:p>
        </w:tc>
        <w:tc>
          <w:tcPr>
            <w:tcW w:w="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460" w:type="dxa"/>
            <w:vAlign w:val="bottom"/>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9760" w:type="dxa"/>
            <w:vAlign w:val="bottom"/>
            <w:gridSpan w:val="22"/>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Seventh Supplemental Indenture, dated November 23, 2021, between Host Hotels &amp; Resorts, L.P. and The Bank of New York Mellon,</w:t>
              </w:r>
            </w:hyperlink>
          </w:p>
        </w:tc>
      </w:tr>
      <w:tr>
        <w:trPr>
          <w:trHeight w:val="155"/>
        </w:trPr>
        <w:tc>
          <w:tcPr>
            <w:tcW w:w="1460" w:type="dxa"/>
            <w:vAlign w:val="bottom"/>
          </w:tcPr>
          <w:p>
            <w:pPr>
              <w:spacing w:after="0"/>
              <w:rPr>
                <w:sz w:val="13"/>
                <w:szCs w:val="13"/>
                <w:color w:val="auto"/>
              </w:rPr>
            </w:pPr>
          </w:p>
        </w:tc>
        <w:tc>
          <w:tcPr>
            <w:tcW w:w="96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as trustee, to the Indenture dated May 15, 2015 (incorporated by reference to Exhibit 4.1 to Host Hotels &amp; Resorts, Inc. and Host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460" w:type="dxa"/>
            <w:vAlign w:val="bottom"/>
          </w:tcPr>
          <w:p>
            <w:pPr>
              <w:spacing w:after="0"/>
              <w:rPr>
                <w:sz w:val="14"/>
                <w:szCs w:val="14"/>
                <w:color w:val="auto"/>
              </w:rPr>
            </w:pPr>
          </w:p>
        </w:tc>
        <w:tc>
          <w:tcPr>
            <w:tcW w:w="59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Hotels &amp; Resorts, L.P. Current Report on Form 8-K filed on November 23, 2021).</w:t>
              </w:r>
            </w:hyperlink>
          </w:p>
        </w:tc>
        <w:tc>
          <w:tcPr>
            <w:tcW w:w="3380" w:type="dxa"/>
            <w:vAlign w:val="bottom"/>
            <w:tcBorders>
              <w:top w:val="single" w:sz="8" w:color="0000FF"/>
            </w:tcBorders>
            <w:gridSpan w:val="8"/>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93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Eighth Supplemental Indenture, dated May 10, 2024, between Host Hotels &amp; Resorts, L.P. and The Bank of New York Mellon, as</w:t>
              </w:r>
            </w:hyperlink>
          </w:p>
        </w:tc>
        <w:tc>
          <w:tcPr>
            <w:tcW w:w="400" w:type="dxa"/>
            <w:vAlign w:val="bottom"/>
            <w:gridSpan w:val="9"/>
          </w:tcPr>
          <w:p>
            <w:pPr>
              <w:spacing w:after="0"/>
              <w:rPr>
                <w:sz w:val="22"/>
                <w:szCs w:val="22"/>
                <w:color w:val="auto"/>
              </w:rPr>
            </w:pPr>
          </w:p>
        </w:tc>
      </w:tr>
      <w:tr>
        <w:trPr>
          <w:trHeight w:val="156"/>
        </w:trPr>
        <w:tc>
          <w:tcPr>
            <w:tcW w:w="1460" w:type="dxa"/>
            <w:vAlign w:val="bottom"/>
          </w:tcPr>
          <w:p>
            <w:pPr>
              <w:spacing w:after="0"/>
              <w:rPr>
                <w:sz w:val="13"/>
                <w:szCs w:val="13"/>
                <w:color w:val="auto"/>
              </w:rPr>
            </w:pPr>
          </w:p>
        </w:tc>
        <w:tc>
          <w:tcPr>
            <w:tcW w:w="9760" w:type="dxa"/>
            <w:vAlign w:val="bottom"/>
            <w:gridSpan w:val="22"/>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trustee, to the Indenture dated May 15, 2015 (incorporated by reference to Exhibit 4.1 to Host Hotels &amp; Resorts, Inc. and Host Hotels</w:t>
              </w:r>
            </w:hyperlink>
          </w:p>
        </w:tc>
      </w:tr>
      <w:tr>
        <w:trPr>
          <w:trHeight w:val="169"/>
        </w:trPr>
        <w:tc>
          <w:tcPr>
            <w:tcW w:w="1460" w:type="dxa"/>
            <w:vAlign w:val="bottom"/>
          </w:tcPr>
          <w:p>
            <w:pPr>
              <w:spacing w:after="0"/>
              <w:rPr>
                <w:sz w:val="14"/>
                <w:szCs w:val="14"/>
                <w:color w:val="auto"/>
              </w:rPr>
            </w:pPr>
          </w:p>
        </w:tc>
        <w:tc>
          <w:tcPr>
            <w:tcW w:w="49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&amp; Resorts, L.P. Current Report on Form 8-K filed on May 10, 2024).</w:t>
              </w:r>
            </w:hyperlink>
          </w:p>
        </w:tc>
        <w:tc>
          <w:tcPr>
            <w:tcW w:w="4620" w:type="dxa"/>
            <w:vAlign w:val="bottom"/>
            <w:tcBorders>
              <w:top w:val="single" w:sz="8" w:color="0000FF"/>
            </w:tcBorders>
            <w:gridSpan w:val="14"/>
          </w:tcPr>
          <w:p>
            <w:pPr>
              <w:spacing w:after="0"/>
              <w:rPr>
                <w:sz w:val="14"/>
                <w:szCs w:val="14"/>
                <w:color w:val="auto"/>
              </w:rPr>
            </w:pPr>
          </w:p>
        </w:tc>
        <w:tc>
          <w:tcPr>
            <w:tcW w:w="1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94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Ninth Supplemental Indenture, dated August 12, 2024, between Host Hotels &amp; Resorts, L.P. and The Bank of New York Mellon, as</w:t>
              </w:r>
            </w:hyperlink>
          </w:p>
        </w:tc>
        <w:tc>
          <w:tcPr>
            <w:tcW w:w="300" w:type="dxa"/>
            <w:vAlign w:val="bottom"/>
            <w:gridSpan w:val="8"/>
          </w:tcPr>
          <w:p>
            <w:pPr>
              <w:spacing w:after="0"/>
              <w:rPr>
                <w:sz w:val="22"/>
                <w:szCs w:val="22"/>
                <w:color w:val="auto"/>
              </w:rPr>
            </w:pPr>
          </w:p>
        </w:tc>
      </w:tr>
      <w:tr>
        <w:trPr>
          <w:trHeight w:val="155"/>
        </w:trPr>
        <w:tc>
          <w:tcPr>
            <w:tcW w:w="1460" w:type="dxa"/>
            <w:vAlign w:val="bottom"/>
          </w:tcPr>
          <w:p>
            <w:pPr>
              <w:spacing w:after="0"/>
              <w:rPr>
                <w:sz w:val="13"/>
                <w:szCs w:val="13"/>
                <w:color w:val="auto"/>
              </w:rPr>
            </w:pPr>
          </w:p>
        </w:tc>
        <w:tc>
          <w:tcPr>
            <w:tcW w:w="9760" w:type="dxa"/>
            <w:vAlign w:val="bottom"/>
            <w:gridSpan w:val="22"/>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trustee, to the Indenture dated May 15, 2015 (incorporated by reference to Exhibit 4.1 to Host Hotels &amp; Resorts, Inc. and Host Hotels</w:t>
              </w:r>
            </w:hyperlink>
          </w:p>
        </w:tc>
      </w:tr>
      <w:tr>
        <w:trPr>
          <w:trHeight w:val="169"/>
        </w:trPr>
        <w:tc>
          <w:tcPr>
            <w:tcW w:w="1460" w:type="dxa"/>
            <w:vAlign w:val="bottom"/>
          </w:tcPr>
          <w:p>
            <w:pPr>
              <w:spacing w:after="0"/>
              <w:rPr>
                <w:sz w:val="14"/>
                <w:szCs w:val="14"/>
                <w:color w:val="auto"/>
              </w:rPr>
            </w:pPr>
          </w:p>
        </w:tc>
        <w:tc>
          <w:tcPr>
            <w:tcW w:w="958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&amp; Resorts, L.P. Current Report on Form 8-K filed on August 12, 2024).</w:t>
              </w:r>
            </w:hyperlink>
          </w:p>
        </w:tc>
        <w:tc>
          <w:tcPr>
            <w:tcW w:w="1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460" w:type="dxa"/>
            <w:vAlign w:val="bottom"/>
          </w:tcPr>
          <w:p>
            <w:pPr>
              <w:spacing w:after="0" w:line="20" w:lineRule="exact"/>
              <w:rPr>
                <w:sz w:val="1"/>
                <w:szCs w:val="1"/>
                <w:color w:val="auto"/>
              </w:rPr>
            </w:pPr>
          </w:p>
        </w:tc>
        <w:tc>
          <w:tcPr>
            <w:tcW w:w="5140" w:type="dxa"/>
            <w:vAlign w:val="bottom"/>
            <w:gridSpan w:val="3"/>
            <w:shd w:val="clear" w:color="auto" w:fill="0000FF"/>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92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Tenth Supplemental Indenture, dated May 20, 2025, between Host Hotels &amp; Resorts, L.P. and The Bank of New York Mellon, as</w:t>
              </w:r>
            </w:hyperlink>
          </w:p>
        </w:tc>
        <w:tc>
          <w:tcPr>
            <w:tcW w:w="500" w:type="dxa"/>
            <w:vAlign w:val="bottom"/>
            <w:gridSpan w:val="11"/>
          </w:tcPr>
          <w:p>
            <w:pPr>
              <w:spacing w:after="0"/>
              <w:rPr>
                <w:sz w:val="22"/>
                <w:szCs w:val="22"/>
                <w:color w:val="auto"/>
              </w:rPr>
            </w:pPr>
          </w:p>
        </w:tc>
      </w:tr>
      <w:tr>
        <w:trPr>
          <w:trHeight w:val="156"/>
        </w:trPr>
        <w:tc>
          <w:tcPr>
            <w:tcW w:w="1460" w:type="dxa"/>
            <w:vAlign w:val="bottom"/>
          </w:tcPr>
          <w:p>
            <w:pPr>
              <w:spacing w:after="0"/>
              <w:rPr>
                <w:sz w:val="13"/>
                <w:szCs w:val="13"/>
                <w:color w:val="auto"/>
              </w:rPr>
            </w:pPr>
          </w:p>
        </w:tc>
        <w:tc>
          <w:tcPr>
            <w:tcW w:w="9760" w:type="dxa"/>
            <w:vAlign w:val="bottom"/>
            <w:gridSpan w:val="22"/>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trustee, to the Indenture dated May 15, 2015 (incorporated by reference to Exhibit 4.1 to Host Hotels &amp; Resorts, Inc. and Host Hotels</w:t>
              </w:r>
            </w:hyperlink>
          </w:p>
        </w:tc>
      </w:tr>
      <w:tr>
        <w:trPr>
          <w:trHeight w:val="169"/>
        </w:trPr>
        <w:tc>
          <w:tcPr>
            <w:tcW w:w="1460" w:type="dxa"/>
            <w:vAlign w:val="bottom"/>
          </w:tcPr>
          <w:p>
            <w:pPr>
              <w:spacing w:after="0"/>
              <w:rPr>
                <w:sz w:val="14"/>
                <w:szCs w:val="14"/>
                <w:color w:val="auto"/>
              </w:rPr>
            </w:pPr>
          </w:p>
        </w:tc>
        <w:tc>
          <w:tcPr>
            <w:tcW w:w="49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&amp; Resorts, L.P. Current Report on Form 8-K filed on May 20, 2025).</w:t>
              </w:r>
            </w:hyperlink>
          </w:p>
        </w:tc>
        <w:tc>
          <w:tcPr>
            <w:tcW w:w="4620" w:type="dxa"/>
            <w:vAlign w:val="bottom"/>
            <w:tcBorders>
              <w:top w:val="single" w:sz="8" w:color="0000FF"/>
            </w:tcBorders>
            <w:gridSpan w:val="14"/>
          </w:tcPr>
          <w:p>
            <w:pPr>
              <w:spacing w:after="0"/>
              <w:rPr>
                <w:sz w:val="14"/>
                <w:szCs w:val="14"/>
                <w:color w:val="auto"/>
              </w:rPr>
            </w:pPr>
          </w:p>
        </w:tc>
        <w:tc>
          <w:tcPr>
            <w:tcW w:w="1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9760" w:type="dxa"/>
            <w:vAlign w:val="bottom"/>
            <w:gridSpan w:val="22"/>
          </w:tcPr>
          <w:p>
            <w:pPr>
              <w:spacing w:after="0"/>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Eleventh Supplemental Indenture, dated November 26, 2025, between Host Hotels &amp; Resorts, L.P. and The Bank of New York Mellon,</w:t>
              </w:r>
            </w:hyperlink>
          </w:p>
        </w:tc>
      </w:tr>
      <w:tr>
        <w:trPr>
          <w:trHeight w:val="156"/>
        </w:trPr>
        <w:tc>
          <w:tcPr>
            <w:tcW w:w="1460" w:type="dxa"/>
            <w:vAlign w:val="bottom"/>
          </w:tcPr>
          <w:p>
            <w:pPr>
              <w:spacing w:after="0"/>
              <w:rPr>
                <w:sz w:val="13"/>
                <w:szCs w:val="13"/>
                <w:color w:val="auto"/>
              </w:rPr>
            </w:pPr>
          </w:p>
        </w:tc>
        <w:tc>
          <w:tcPr>
            <w:tcW w:w="97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as trustee, to the Indenture dated May 15, 2015 (incorporated by reference to Exhibit 4.1 to Host Hotels &amp; Resorts, Inc. and Host</w:t>
              </w:r>
            </w:hyperlink>
          </w:p>
        </w:tc>
        <w:tc>
          <w:tcPr>
            <w:tcW w:w="20" w:type="dxa"/>
            <w:vAlign w:val="bottom"/>
          </w:tcPr>
          <w:p>
            <w:pPr>
              <w:spacing w:after="0"/>
              <w:rPr>
                <w:sz w:val="13"/>
                <w:szCs w:val="13"/>
                <w:color w:val="auto"/>
              </w:rPr>
            </w:pPr>
          </w:p>
        </w:tc>
      </w:tr>
      <w:tr>
        <w:trPr>
          <w:trHeight w:val="169"/>
        </w:trPr>
        <w:tc>
          <w:tcPr>
            <w:tcW w:w="1460" w:type="dxa"/>
            <w:vAlign w:val="bottom"/>
          </w:tcPr>
          <w:p>
            <w:pPr>
              <w:spacing w:after="0"/>
              <w:rPr>
                <w:sz w:val="14"/>
                <w:szCs w:val="14"/>
                <w:color w:val="auto"/>
              </w:rPr>
            </w:pPr>
          </w:p>
        </w:tc>
        <w:tc>
          <w:tcPr>
            <w:tcW w:w="59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Hotels &amp; Resorts, L.P. Current Report on Form 8-K filed on November 26, 2025).</w:t>
              </w:r>
            </w:hyperlink>
          </w:p>
        </w:tc>
        <w:tc>
          <w:tcPr>
            <w:tcW w:w="3380" w:type="dxa"/>
            <w:vAlign w:val="bottom"/>
            <w:tcBorders>
              <w:top w:val="single" w:sz="8" w:color="0000FF"/>
            </w:tcBorders>
            <w:gridSpan w:val="8"/>
          </w:tcPr>
          <w:p>
            <w:pPr>
              <w:spacing w:after="0"/>
              <w:rPr>
                <w:sz w:val="14"/>
                <w:szCs w:val="14"/>
                <w:color w:val="auto"/>
              </w:rPr>
            </w:pPr>
          </w:p>
        </w:tc>
        <w:tc>
          <w:tcPr>
            <w:tcW w:w="440" w:type="dxa"/>
            <w:vAlign w:val="bottom"/>
            <w:gridSpan w:val="8"/>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9760" w:type="dxa"/>
            <w:vAlign w:val="bottom"/>
            <w:gridSpan w:val="22"/>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Description of Securities Registered under Section 12 of the Exchange Act (incorporated by reference to Exhibit 4.12 to Host Hotels &amp;</w:t>
              </w:r>
            </w:hyperlink>
          </w:p>
        </w:tc>
      </w:tr>
      <w:tr>
        <w:trPr>
          <w:trHeight w:val="156"/>
        </w:trPr>
        <w:tc>
          <w:tcPr>
            <w:tcW w:w="1460" w:type="dxa"/>
            <w:vAlign w:val="bottom"/>
          </w:tcPr>
          <w:p>
            <w:pPr>
              <w:spacing w:after="0"/>
              <w:rPr>
                <w:sz w:val="13"/>
                <w:szCs w:val="13"/>
                <w:color w:val="auto"/>
              </w:rPr>
            </w:pPr>
          </w:p>
        </w:tc>
        <w:tc>
          <w:tcPr>
            <w:tcW w:w="97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Resorts, Inc. and Host Hotels &amp; Resorts, L.P. Annual Report on Form 10-K, Filed on February 25, 2020).</w:t>
              </w:r>
            </w:hyperlink>
          </w:p>
        </w:tc>
        <w:tc>
          <w:tcPr>
            <w:tcW w:w="40" w:type="dxa"/>
            <w:vAlign w:val="bottom"/>
            <w:gridSpan w:val="2"/>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1454"/>
        <w:spacing w:after="0"/>
        <w:tabs>
          <w:tab w:leader="none" w:pos="14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00"/>
        <w:spacing w:after="0" w:line="236" w:lineRule="auto"/>
        <w:rPr>
          <w:rFonts w:ascii="Times New Roman" w:cs="Times New Roman" w:eastAsia="Times New Roman" w:hAnsi="Times New Roman"/>
          <w:sz w:val="17"/>
          <w:szCs w:val="17"/>
          <w:u w:val="single" w:color="auto"/>
          <w:color w:val="0000FF"/>
        </w:rPr>
      </w:pPr>
      <w:hyperlink r:id="rId189">
        <w:r>
          <w:rPr>
            <w:rFonts w:ascii="Times New Roman" w:cs="Times New Roman" w:eastAsia="Times New Roman" w:hAnsi="Times New Roman"/>
            <w:sz w:val="17"/>
            <w:szCs w:val="17"/>
            <w:u w:val="single" w:color="auto"/>
            <w:color w:val="0000FF"/>
          </w:rPr>
          <w:t>Host Hotels &amp; Resorts, L.P. Executive Deferred Compensation Plan as amended and restated effective January 1, 2014 (incorporated</w:t>
        </w:r>
      </w:hyperlink>
      <w:r>
        <w:rPr>
          <w:rFonts w:ascii="Times New Roman" w:cs="Times New Roman" w:eastAsia="Times New Roman" w:hAnsi="Times New Roman"/>
          <w:sz w:val="17"/>
          <w:szCs w:val="17"/>
          <w:u w:val="single" w:color="auto"/>
          <w:color w:val="0000FF"/>
        </w:rPr>
        <w:t xml:space="preserve"> </w:t>
      </w:r>
      <w:hyperlink r:id="rId189">
        <w:r>
          <w:rPr>
            <w:rFonts w:ascii="Times New Roman" w:cs="Times New Roman" w:eastAsia="Times New Roman" w:hAnsi="Times New Roman"/>
            <w:sz w:val="17"/>
            <w:szCs w:val="17"/>
            <w:u w:val="single" w:color="auto"/>
            <w:color w:val="0000FF"/>
          </w:rPr>
          <w:t>by reference to Exhibit 10.1 of Host Hotels &amp; Resorts, Inc. and Host Hotels &amp; Resorts, L.P. Annual Report on Form 10-K for the year</w:t>
        </w:r>
      </w:hyperlink>
    </w:p>
    <w:p>
      <w:pPr>
        <w:spacing w:after="0"/>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ended December 31, 2013, filed on February 25, 2014).</w:t>
        </w:r>
      </w:hyperlink>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Host Hotels &amp; Resorts L.P. Executive Deferred Compensation Plan Nonqualified Plan Trust and Services Agreement by and among T.</w:t>
      </w:r>
    </w:p>
    <w:p>
      <w:pPr>
        <w:spacing w:after="0"/>
        <w:rPr>
          <w:sz w:val="20"/>
          <w:szCs w:val="20"/>
          <w:color w:val="auto"/>
        </w:rPr>
      </w:pPr>
      <w:r>
        <w:rPr>
          <w:rFonts w:ascii="Times New Roman" w:cs="Times New Roman" w:eastAsia="Times New Roman" w:hAnsi="Times New Roman"/>
          <w:sz w:val="17"/>
          <w:szCs w:val="17"/>
          <w:u w:val="single" w:color="auto"/>
          <w:color w:val="0000FF"/>
        </w:rPr>
        <w:t>Rowe Price Trust Company, T. Rowe Price Retirement Plan Services, Inc. and Host Hotels &amp; Resorts, L.P., dated November 28, 2025.</w:t>
      </w:r>
    </w:p>
    <w:p>
      <w:pPr>
        <w:spacing w:after="0" w:line="82" w:lineRule="exact"/>
        <w:rPr>
          <w:sz w:val="20"/>
          <w:szCs w:val="20"/>
          <w:color w:val="auto"/>
        </w:rPr>
      </w:pPr>
    </w:p>
    <w:p>
      <w:pPr>
        <w:ind w:right="100"/>
        <w:spacing w:after="0" w:line="236" w:lineRule="auto"/>
        <w:rPr>
          <w:rFonts w:ascii="Times New Roman" w:cs="Times New Roman" w:eastAsia="Times New Roman" w:hAnsi="Times New Roman"/>
          <w:sz w:val="17"/>
          <w:szCs w:val="17"/>
          <w:u w:val="single" w:color="auto"/>
          <w:color w:val="0000FF"/>
        </w:rPr>
      </w:pPr>
      <w:hyperlink r:id="rId190">
        <w:r>
          <w:rPr>
            <w:rFonts w:ascii="Times New Roman" w:cs="Times New Roman" w:eastAsia="Times New Roman" w:hAnsi="Times New Roman"/>
            <w:sz w:val="17"/>
            <w:szCs w:val="17"/>
            <w:u w:val="single" w:color="auto"/>
            <w:color w:val="0000FF"/>
          </w:rPr>
          <w:t>Host Hotels &amp; Resorts, Inc.’s Severance Plan for Executives, as amended and restated, effective as of December 31, 2015</w:t>
        </w:r>
      </w:hyperlink>
      <w:r>
        <w:rPr>
          <w:rFonts w:ascii="Times New Roman" w:cs="Times New Roman" w:eastAsia="Times New Roman" w:hAnsi="Times New Roman"/>
          <w:sz w:val="17"/>
          <w:szCs w:val="17"/>
          <w:u w:val="single" w:color="auto"/>
          <w:color w:val="0000FF"/>
        </w:rPr>
        <w:t xml:space="preserve"> </w:t>
      </w:r>
      <w:hyperlink r:id="rId190">
        <w:r>
          <w:rPr>
            <w:rFonts w:ascii="Times New Roman" w:cs="Times New Roman" w:eastAsia="Times New Roman" w:hAnsi="Times New Roman"/>
            <w:sz w:val="17"/>
            <w:szCs w:val="17"/>
            <w:u w:val="single" w:color="auto"/>
            <w:color w:val="0000FF"/>
          </w:rPr>
          <w:t>(incorporated by reference to Exhibit 10.4 to Host Hotels &amp; Resorts, Inc. and Host Hotels &amp; Resorts, L.P. Annual Report on Form 10-</w:t>
        </w:r>
      </w:hyperlink>
    </w:p>
    <w:p>
      <w:pPr>
        <w:spacing w:after="0"/>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K for the year ended December 31, 2015, filed on February 22, 2016).</w:t>
        </w:r>
      </w:hyperlink>
    </w:p>
    <w:p>
      <w:pPr>
        <w:spacing w:after="0" w:line="57" w:lineRule="exact"/>
        <w:rPr>
          <w:sz w:val="20"/>
          <w:szCs w:val="20"/>
          <w:color w:val="auto"/>
        </w:rPr>
      </w:pPr>
    </w:p>
    <w:p>
      <w:pPr>
        <w:ind w:right="40"/>
        <w:spacing w:after="0" w:line="237" w:lineRule="auto"/>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Indemnification Agreement for officers and directors of Host Hotels &amp; Resorts, Inc. (incorporated by reference to Exhibit 10.1 of Host</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Hotels &amp; Resorts, Inc. and Host Hotels &amp; Resorts, L.P. Current Report on Form 8-K, filed on July 21, 2017).</w:t>
        </w:r>
      </w:hyperlink>
    </w:p>
    <w:p>
      <w:pPr>
        <w:spacing w:after="0" w:line="64" w:lineRule="exact"/>
        <w:rPr>
          <w:sz w:val="20"/>
          <w:szCs w:val="20"/>
          <w:color w:val="auto"/>
        </w:rPr>
      </w:pPr>
    </w:p>
    <w:p>
      <w:pPr>
        <w:ind w:right="220"/>
        <w:spacing w:after="0" w:line="236" w:lineRule="auto"/>
        <w:rPr>
          <w:rFonts w:ascii="Times New Roman" w:cs="Times New Roman" w:eastAsia="Times New Roman" w:hAnsi="Times New Roman"/>
          <w:sz w:val="17"/>
          <w:szCs w:val="17"/>
          <w:u w:val="single" w:color="auto"/>
          <w:color w:val="0000FF"/>
        </w:rPr>
      </w:pPr>
      <w:hyperlink r:id="rId192">
        <w:r>
          <w:rPr>
            <w:rFonts w:ascii="Times New Roman" w:cs="Times New Roman" w:eastAsia="Times New Roman" w:hAnsi="Times New Roman"/>
            <w:sz w:val="17"/>
            <w:szCs w:val="17"/>
            <w:u w:val="single" w:color="auto"/>
            <w:color w:val="0000FF"/>
          </w:rPr>
          <w:t>Host Hotels &amp; Resorts, Inc. Non-Employee Directors’ Deferred Stock Compensation Plan, as amended and restated effective as of</w:t>
        </w:r>
      </w:hyperlink>
      <w:r>
        <w:rPr>
          <w:rFonts w:ascii="Times New Roman" w:cs="Times New Roman" w:eastAsia="Times New Roman" w:hAnsi="Times New Roman"/>
          <w:sz w:val="17"/>
          <w:szCs w:val="17"/>
          <w:u w:val="single" w:color="auto"/>
          <w:color w:val="0000FF"/>
        </w:rPr>
        <w:t xml:space="preserve"> </w:t>
      </w:r>
      <w:hyperlink r:id="rId192">
        <w:r>
          <w:rPr>
            <w:rFonts w:ascii="Times New Roman" w:cs="Times New Roman" w:eastAsia="Times New Roman" w:hAnsi="Times New Roman"/>
            <w:sz w:val="17"/>
            <w:szCs w:val="17"/>
            <w:u w:val="single" w:color="auto"/>
            <w:color w:val="0000FF"/>
          </w:rPr>
          <w:t>February 7, 2020 (incorporated by reference to Exhibit 10.10 to Host Hotels &amp; Resorts, Inc. and Host Hotels &amp; Resorts, L.P. Annual</w:t>
        </w:r>
      </w:hyperlink>
    </w:p>
    <w:p>
      <w:pPr>
        <w:spacing w:after="0"/>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Report on Form 10-K filed on February 25, 2020).</w:t>
        </w:r>
      </w:hyperlink>
    </w:p>
    <w:p>
      <w:pPr>
        <w:spacing w:after="0" w:line="57" w:lineRule="exact"/>
        <w:rPr>
          <w:sz w:val="20"/>
          <w:szCs w:val="20"/>
          <w:color w:val="auto"/>
        </w:rPr>
      </w:pPr>
    </w:p>
    <w:p>
      <w:pPr>
        <w:ind w:right="200"/>
        <w:spacing w:after="0" w:line="236" w:lineRule="auto"/>
        <w:rPr>
          <w:rFonts w:ascii="Times New Roman" w:cs="Times New Roman" w:eastAsia="Times New Roman" w:hAnsi="Times New Roman"/>
          <w:sz w:val="17"/>
          <w:szCs w:val="17"/>
          <w:u w:val="single" w:color="auto"/>
          <w:color w:val="0000FF"/>
        </w:rPr>
      </w:pPr>
      <w:hyperlink r:id="rId193">
        <w:r>
          <w:rPr>
            <w:rFonts w:ascii="Times New Roman" w:cs="Times New Roman" w:eastAsia="Times New Roman" w:hAnsi="Times New Roman"/>
            <w:sz w:val="17"/>
            <w:szCs w:val="17"/>
            <w:u w:val="single" w:color="auto"/>
            <w:color w:val="0000FF"/>
          </w:rPr>
          <w:t>Sixth Amended and Restated Credit Agreement, dated as of January 4, 2023, among Host Hotels &amp; Resorts, L.P., Bank of America,</w:t>
        </w:r>
      </w:hyperlink>
      <w:r>
        <w:rPr>
          <w:rFonts w:ascii="Times New Roman" w:cs="Times New Roman" w:eastAsia="Times New Roman" w:hAnsi="Times New Roman"/>
          <w:sz w:val="17"/>
          <w:szCs w:val="17"/>
          <w:u w:val="single" w:color="auto"/>
          <w:color w:val="0000FF"/>
        </w:rPr>
        <w:t xml:space="preserve"> </w:t>
      </w:r>
      <w:hyperlink r:id="rId193">
        <w:r>
          <w:rPr>
            <w:rFonts w:ascii="Times New Roman" w:cs="Times New Roman" w:eastAsia="Times New Roman" w:hAnsi="Times New Roman"/>
            <w:sz w:val="17"/>
            <w:szCs w:val="17"/>
            <w:u w:val="single" w:color="auto"/>
            <w:color w:val="0000FF"/>
          </w:rPr>
          <w:t>N.A., as administrative agent, JPMorgan Chase Bank, N.A. and Wells Fargo Bank, N.A., as co-syndication agents, and various other</w:t>
        </w:r>
      </w:hyperlink>
    </w:p>
    <w:p>
      <w:pPr>
        <w:ind w:right="120"/>
        <w:spacing w:after="0" w:line="226" w:lineRule="auto"/>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agents and lenders (incorporated by reference to Exhibit 10.1 to the combined Current Report on Form 8-K of Host Hotels &amp; Resorts,</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Inc. and Host Hotels &amp; Resorts, L.P., filed on January 5, 2023).</w:t>
        </w:r>
      </w:hyperlink>
    </w:p>
    <w:p>
      <w:pPr>
        <w:spacing w:after="0" w:line="49" w:lineRule="exact"/>
        <w:rPr>
          <w:sz w:val="20"/>
          <w:szCs w:val="20"/>
          <w:color w:val="auto"/>
        </w:rPr>
      </w:pPr>
    </w:p>
    <w:p>
      <w:pPr>
        <w:ind w:right="160"/>
        <w:spacing w:after="0" w:line="236" w:lineRule="auto"/>
        <w:rPr>
          <w:rFonts w:ascii="Times New Roman" w:cs="Times New Roman" w:eastAsia="Times New Roman" w:hAnsi="Times New Roman"/>
          <w:sz w:val="17"/>
          <w:szCs w:val="17"/>
          <w:u w:val="single" w:color="auto"/>
          <w:color w:val="0000FF"/>
        </w:rPr>
      </w:pPr>
      <w:hyperlink r:id="rId194">
        <w:r>
          <w:rPr>
            <w:rFonts w:ascii="Times New Roman" w:cs="Times New Roman" w:eastAsia="Times New Roman" w:hAnsi="Times New Roman"/>
            <w:sz w:val="17"/>
            <w:szCs w:val="17"/>
            <w:u w:val="single" w:color="auto"/>
            <w:color w:val="0000FF"/>
          </w:rPr>
          <w:t>Distribution Agreement, dated May 31, 2023, among Host Hotels &amp; Resorts, Inc., J.P. Morgan Securities LLC, BofA Securities, Inc.,</w:t>
        </w:r>
      </w:hyperlink>
      <w:r>
        <w:rPr>
          <w:rFonts w:ascii="Times New Roman" w:cs="Times New Roman" w:eastAsia="Times New Roman" w:hAnsi="Times New Roman"/>
          <w:sz w:val="17"/>
          <w:szCs w:val="17"/>
          <w:u w:val="single" w:color="auto"/>
          <w:color w:val="0000FF"/>
        </w:rPr>
        <w:t xml:space="preserve"> </w:t>
      </w:r>
      <w:hyperlink r:id="rId194">
        <w:r>
          <w:rPr>
            <w:rFonts w:ascii="Times New Roman" w:cs="Times New Roman" w:eastAsia="Times New Roman" w:hAnsi="Times New Roman"/>
            <w:sz w:val="17"/>
            <w:szCs w:val="17"/>
            <w:u w:val="single" w:color="auto"/>
            <w:color w:val="0000FF"/>
          </w:rPr>
          <w:t>Goldman Sachs &amp; Co. LLC, Jefferies LLC, Morgan Stanley &amp; Co. LLC, Scotia Capital (USA) Inc., Truist Securities, Inc. and Wells</w:t>
        </w:r>
      </w:hyperlink>
    </w:p>
    <w:p>
      <w:pPr>
        <w:ind w:right="20"/>
        <w:spacing w:after="0" w:line="220" w:lineRule="auto"/>
        <w:rPr>
          <w:rFonts w:ascii="Times New Roman" w:cs="Times New Roman" w:eastAsia="Times New Roman" w:hAnsi="Times New Roman"/>
          <w:sz w:val="17"/>
          <w:szCs w:val="17"/>
          <w:u w:val="single" w:color="auto"/>
          <w:color w:val="0000FF"/>
        </w:rPr>
      </w:pPr>
      <w:hyperlink r:id="rId194">
        <w:r>
          <w:rPr>
            <w:rFonts w:ascii="Times New Roman" w:cs="Times New Roman" w:eastAsia="Times New Roman" w:hAnsi="Times New Roman"/>
            <w:sz w:val="17"/>
            <w:szCs w:val="17"/>
            <w:u w:val="single" w:color="auto"/>
            <w:color w:val="0000FF"/>
          </w:rPr>
          <w:t>Fargo Securities, LLC, as sales agents and forward sellers, and JPMorgan Chase Bank, National Association, Bank of America, N.A.,</w:t>
        </w:r>
      </w:hyperlink>
      <w:r>
        <w:rPr>
          <w:rFonts w:ascii="Times New Roman" w:cs="Times New Roman" w:eastAsia="Times New Roman" w:hAnsi="Times New Roman"/>
          <w:sz w:val="17"/>
          <w:szCs w:val="17"/>
          <w:u w:val="single" w:color="auto"/>
          <w:color w:val="0000FF"/>
        </w:rPr>
        <w:t xml:space="preserve"> </w:t>
      </w:r>
      <w:hyperlink r:id="rId194">
        <w:r>
          <w:rPr>
            <w:rFonts w:ascii="Times New Roman" w:cs="Times New Roman" w:eastAsia="Times New Roman" w:hAnsi="Times New Roman"/>
            <w:sz w:val="17"/>
            <w:szCs w:val="17"/>
            <w:u w:val="single" w:color="auto"/>
            <w:color w:val="0000FF"/>
          </w:rPr>
          <w:t>Goldman Sachs &amp; Co. LLC, Jefferies LLC, Morgan Stanley &amp; Co. LLC, The Bank of Nova Scotia, Truist Bank and Wells Fargo Bank,</w:t>
        </w:r>
      </w:hyperlink>
      <w:r>
        <w:rPr>
          <w:rFonts w:ascii="Times New Roman" w:cs="Times New Roman" w:eastAsia="Times New Roman" w:hAnsi="Times New Roman"/>
          <w:sz w:val="17"/>
          <w:szCs w:val="17"/>
          <w:u w:val="single" w:color="auto"/>
          <w:color w:val="0000FF"/>
        </w:rPr>
        <w:t xml:space="preserve"> </w:t>
      </w:r>
      <w:hyperlink r:id="rId194">
        <w:r>
          <w:rPr>
            <w:rFonts w:ascii="Times New Roman" w:cs="Times New Roman" w:eastAsia="Times New Roman" w:hAnsi="Times New Roman"/>
            <w:sz w:val="17"/>
            <w:szCs w:val="17"/>
            <w:u w:val="single" w:color="auto"/>
            <w:color w:val="0000FF"/>
          </w:rPr>
          <w:t>National Association, as forward purchasers (incorporated by reference to Exhibit 1.1 to the Current Report on Form 8-K of Host</w:t>
        </w:r>
      </w:hyperlink>
    </w:p>
    <w:p>
      <w:pPr>
        <w:spacing w:after="0" w:line="2" w:lineRule="exact"/>
        <w:rPr>
          <w:rFonts w:ascii="Times New Roman" w:cs="Times New Roman" w:eastAsia="Times New Roman" w:hAnsi="Times New Roman"/>
          <w:sz w:val="17"/>
          <w:szCs w:val="17"/>
          <w:u w:val="single" w:color="auto"/>
          <w:color w:val="0000FF"/>
        </w:rPr>
      </w:pPr>
    </w:p>
    <w:p>
      <w:pPr>
        <w:spacing w:after="0"/>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Hotels &amp; Resorts, Inc., filed on May 31, 2023).</w:t>
        </w:r>
      </w:hyperlink>
    </w:p>
    <w:p>
      <w:pPr>
        <w:spacing w:after="0" w:line="57" w:lineRule="exact"/>
        <w:rPr>
          <w:rFonts w:ascii="Times New Roman" w:cs="Times New Roman" w:eastAsia="Times New Roman" w:hAnsi="Times New Roman"/>
          <w:sz w:val="17"/>
          <w:szCs w:val="17"/>
          <w:u w:val="single" w:color="auto"/>
          <w:color w:val="0000FF"/>
        </w:rPr>
      </w:pPr>
    </w:p>
    <w:p>
      <w:pPr>
        <w:ind w:right="60"/>
        <w:spacing w:after="0" w:line="222" w:lineRule="auto"/>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Host Hotels &amp; Resorts 2024 Comprehensive Stock and Cash Incentive Plan effective as of May 15, 2024 (incorporated by reference to</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Appendix A to the Host Hotels &amp; Resorts, Inc. Definitive Proxy Statement on Schedule 14A filed with the Commission on April 5,</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2024).</w:t>
        </w:r>
      </w:hyperlink>
    </w:p>
    <w:p>
      <w:pPr>
        <w:spacing w:after="0" w:line="57" w:lineRule="exact"/>
        <w:rPr>
          <w:sz w:val="20"/>
          <w:szCs w:val="20"/>
          <w:color w:val="auto"/>
        </w:rPr>
      </w:pPr>
    </w:p>
    <w:p>
      <w:pPr>
        <w:ind w:right="260"/>
        <w:spacing w:after="0" w:line="236" w:lineRule="auto"/>
        <w:rPr>
          <w:rFonts w:ascii="Times New Roman" w:cs="Times New Roman" w:eastAsia="Times New Roman" w:hAnsi="Times New Roman"/>
          <w:sz w:val="17"/>
          <w:szCs w:val="17"/>
          <w:u w:val="single" w:color="auto"/>
          <w:color w:val="0000FF"/>
        </w:rPr>
      </w:pPr>
      <w:hyperlink r:id="rId196">
        <w:r>
          <w:rPr>
            <w:rFonts w:ascii="Times New Roman" w:cs="Times New Roman" w:eastAsia="Times New Roman" w:hAnsi="Times New Roman"/>
            <w:sz w:val="17"/>
            <w:szCs w:val="17"/>
            <w:u w:val="single" w:color="auto"/>
            <w:color w:val="0000FF"/>
          </w:rPr>
          <w:t>Form of Restricted Stock Unit Agreement for use under the Host Hotels &amp; Resorts 2024 Comprehensive Stock and Cash Incentive</w:t>
        </w:r>
      </w:hyperlink>
      <w:r>
        <w:rPr>
          <w:rFonts w:ascii="Times New Roman" w:cs="Times New Roman" w:eastAsia="Times New Roman" w:hAnsi="Times New Roman"/>
          <w:sz w:val="17"/>
          <w:szCs w:val="17"/>
          <w:u w:val="single" w:color="auto"/>
          <w:color w:val="0000FF"/>
        </w:rPr>
        <w:t xml:space="preserve"> </w:t>
      </w:r>
      <w:hyperlink r:id="rId196">
        <w:r>
          <w:rPr>
            <w:rFonts w:ascii="Times New Roman" w:cs="Times New Roman" w:eastAsia="Times New Roman" w:hAnsi="Times New Roman"/>
            <w:sz w:val="17"/>
            <w:szCs w:val="17"/>
            <w:u w:val="single" w:color="auto"/>
            <w:color w:val="0000FF"/>
          </w:rPr>
          <w:t>Plan for performance objective based vesting awards (incorporated by reference to Exhibit 10.14 to Host Hotels &amp; Resorts, Inc. and</w:t>
        </w:r>
      </w:hyperlink>
    </w:p>
    <w:p>
      <w:pPr>
        <w:spacing w:after="0"/>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Host Hotels &amp; Resorts, L.P. Quarterly Report on Form 10-Q, filed on August 2, 2024).</w:t>
        </w:r>
      </w:hyperlink>
    </w:p>
    <w:p>
      <w:pPr>
        <w:spacing w:after="0" w:line="23" w:lineRule="exact"/>
        <w:rPr>
          <w:sz w:val="20"/>
          <w:szCs w:val="20"/>
          <w:color w:val="auto"/>
        </w:rPr>
      </w:pPr>
    </w:p>
    <w:p>
      <w:pPr>
        <w:sectPr>
          <w:pgSz w:w="11900" w:h="16838" w:orient="portrait"/>
          <w:cols w:equalWidth="0" w:num="2">
            <w:col w:w="1280" w:space="200"/>
            <w:col w:w="9740"/>
          </w:cols>
          <w:pgMar w:left="320" w:top="121" w:right="359" w:bottom="1440" w:gutter="0" w:footer="0" w:header="0"/>
        </w:sectPr>
      </w:pPr>
    </w:p>
    <w:tbl>
      <w:tblPr>
        <w:tblLayout w:type="fixed"/>
        <w:tblInd w:w="20" w:type="dxa"/>
        <w:tblCellMar>
          <w:top w:w="0" w:type="dxa"/>
          <w:left w:w="0" w:type="dxa"/>
          <w:bottom w:w="0" w:type="dxa"/>
          <w:right w:w="0" w:type="dxa"/>
        </w:tblCellMar>
      </w:tblPr>
      <w:tr>
        <w:trPr>
          <w:trHeight w:val="227"/>
        </w:trPr>
        <w:tc>
          <w:tcPr>
            <w:tcW w:w="14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8"/>
              </w:rPr>
              <w:t>10.10</w:t>
            </w:r>
          </w:p>
        </w:tc>
        <w:tc>
          <w:tcPr>
            <w:tcW w:w="940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Form of Restricted Stock Unit Agreement for use under the Host Hotels &amp; Resorts 2024 Comprehensive Stock and Cash Incentive</w:t>
              </w:r>
            </w:hyperlink>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9400" w:type="dxa"/>
            <w:vAlign w:val="bottom"/>
            <w:gridSpan w:val="5"/>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Plan for time-based vesting awards (incorporated by reference to Exhibit 10.15 to Host Hotels &amp; Resorts, Inc. and Host Hotels &amp;</w:t>
              </w:r>
            </w:hyperlink>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9280" w:type="dxa"/>
            <w:vAlign w:val="bottom"/>
            <w:tcBorders>
              <w:top w:val="single" w:sz="8" w:color="0000FF"/>
            </w:tcBorders>
            <w:gridSpan w:val="4"/>
          </w:tcPr>
          <w:p>
            <w:pPr>
              <w:spacing w:after="0" w:line="169"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Resorts, L.P. Quarterly Report on Form 10-Q, filed on August 2, 2024).</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14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3"/>
              </w:rPr>
              <w:t>10.11</w:t>
            </w:r>
          </w:p>
        </w:tc>
        <w:tc>
          <w:tcPr>
            <w:tcW w:w="94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First Amendment to the Sixth Amended and Restated Credit Agreement, dated as of June 28, 2024, by and between Host Hotels &amp;</w:t>
              </w:r>
            </w:hyperlink>
          </w:p>
        </w:tc>
        <w:tc>
          <w:tcPr>
            <w:tcW w:w="3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9760" w:type="dxa"/>
            <w:vAlign w:val="bottom"/>
            <w:gridSpan w:val="8"/>
          </w:tcPr>
          <w:p>
            <w:pPr>
              <w:spacing w:after="0" w:line="15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Resorts, L.P. and Bank of America, N.A., as administrative agent (incorporated by reference to Exhibit 10.16 to Host Hotels &amp; Resorts,</w:t>
              </w:r>
            </w:hyperlink>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68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Inc. and Host Hotels &amp; Resorts, L.P. Quarterly Report on Form 10-Q, filed on August 2, 2024).</w:t>
              </w:r>
            </w:hyperlink>
          </w:p>
        </w:tc>
        <w:tc>
          <w:tcPr>
            <w:tcW w:w="288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4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8"/>
              </w:rPr>
              <w:t>10.12</w:t>
            </w:r>
          </w:p>
        </w:tc>
        <w:tc>
          <w:tcPr>
            <w:tcW w:w="92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Second Amendment to the Sixth Amended and Restated Credit Agreement, dated as of September 15, 2025, by and among Host</w:t>
              </w:r>
            </w:hyperlink>
          </w:p>
        </w:tc>
        <w:tc>
          <w:tcPr>
            <w:tcW w:w="160" w:type="dxa"/>
            <w:vAlign w:val="bottom"/>
            <w:gridSpan w:val="2"/>
            <w:vMerge w:val="restart"/>
          </w:tcPr>
          <w:p>
            <w:pPr>
              <w:ind w:left="20"/>
              <w:spacing w:after="0"/>
              <w:rPr>
                <w:rFonts w:ascii="Times New Roman" w:cs="Times New Roman" w:eastAsia="Times New Roman" w:hAnsi="Times New Roman"/>
                <w:sz w:val="18"/>
                <w:szCs w:val="18"/>
                <w:color w:val="0000FF"/>
                <w:w w:val="85"/>
              </w:rPr>
            </w:pPr>
            <w:hyperlink r:id="rId199">
              <w:r>
                <w:rPr>
                  <w:rFonts w:ascii="Times New Roman" w:cs="Times New Roman" w:eastAsia="Times New Roman" w:hAnsi="Times New Roman"/>
                  <w:sz w:val="18"/>
                  <w:szCs w:val="18"/>
                  <w:color w:val="0000FF"/>
                  <w:w w:val="85"/>
                </w:rPr>
                <w:t>to</w:t>
              </w:r>
            </w:hyperlink>
          </w:p>
        </w:tc>
        <w:tc>
          <w:tcPr>
            <w:tcW w:w="360" w:type="dxa"/>
            <w:vAlign w:val="bottom"/>
            <w:gridSpan w:val="3"/>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924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Hotels &amp; Resorts, L.P., Bank of America, N.A., as administrative agent, and the lenders party thereto (incorporated by reference</w:t>
              </w:r>
            </w:hyperlink>
          </w:p>
        </w:tc>
        <w:tc>
          <w:tcPr>
            <w:tcW w:w="160" w:type="dxa"/>
            <w:vAlign w:val="bottom"/>
            <w:tcBorders>
              <w:bottom w:val="single" w:sz="8" w:color="0000FF"/>
            </w:tcBorders>
            <w:gridSpan w:val="2"/>
            <w:vMerge w:val="continue"/>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19.</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br w:type="column"/>
      </w:r>
    </w:p>
    <w:p>
      <w:pPr>
        <w:ind w:right="240"/>
        <w:spacing w:after="0" w:line="226" w:lineRule="auto"/>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Exhibit 10.17 to Host Hotels &amp; Resorts, Inc. and Host Hotels &amp; Resorts, L.P. Quarterly Report on Form 10-Q, filed on November 7,</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2025).</w:t>
        </w:r>
      </w:hyperlink>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108" w:lineRule="exact"/>
        <w:rPr>
          <w:sz w:val="20"/>
          <w:szCs w:val="20"/>
          <w:color w:val="auto"/>
        </w:rPr>
      </w:pPr>
    </w:p>
    <w:p>
      <w:pPr>
        <w:ind w:right="100"/>
        <w:spacing w:after="0" w:line="237" w:lineRule="auto"/>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Host Hotels &amp; Resorts Insider Trading Policy Statement (incorporated by reference to Exhibit 19.1 to Host Hotels &amp; Resorts, Inc. and</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Host Hotels &amp; Resorts, L.P. Annual Report on Form 10-K for the year ended December 31, 2024, filed on February 26, 2025).</w:t>
        </w:r>
      </w:hyperlink>
    </w:p>
    <w:p>
      <w:pPr>
        <w:spacing w:after="0" w:line="60" w:lineRule="exact"/>
        <w:rPr>
          <w:sz w:val="20"/>
          <w:szCs w:val="20"/>
          <w:color w:val="auto"/>
        </w:rPr>
      </w:pPr>
    </w:p>
    <w:p>
      <w:pPr>
        <w:sectPr>
          <w:pgSz w:w="11900" w:h="16838" w:orient="portrait"/>
          <w:cols w:equalWidth="0" w:num="2">
            <w:col w:w="760" w:space="720"/>
            <w:col w:w="9740"/>
          </w:cols>
          <w:pgMar w:left="320" w:top="121" w:right="359" w:bottom="1440" w:gutter="0" w:footer="0" w:header="0"/>
          <w:type w:val="continuous"/>
        </w:sectPr>
      </w:pPr>
    </w:p>
    <w:p>
      <w:pPr>
        <w:ind w:left="1480" w:hanging="1454"/>
        <w:spacing w:after="0"/>
        <w:tabs>
          <w:tab w:leader="none" w:pos="14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Subsidiaries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4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8"/>
              </w:rPr>
              <w:t>21.1*</w:t>
            </w:r>
          </w:p>
        </w:tc>
        <w:tc>
          <w:tcPr>
            <w:tcW w:w="3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List of Subsidiaries of Host Hotels &amp; Resorts, Inc.</w:t>
            </w:r>
          </w:p>
        </w:tc>
      </w:tr>
      <w:tr>
        <w:trPr>
          <w:trHeight w:val="290"/>
        </w:trPr>
        <w:tc>
          <w:tcPr>
            <w:tcW w:w="14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8"/>
              </w:rPr>
              <w:t>21.2*</w:t>
            </w:r>
          </w:p>
        </w:tc>
        <w:tc>
          <w:tcPr>
            <w:tcW w:w="3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List of Subsidiaries of Host Hotels &amp; Resorts, L.P.</w:t>
            </w:r>
          </w:p>
        </w:tc>
      </w:tr>
    </w:tbl>
    <w:p>
      <w:pPr>
        <w:spacing w:after="0" w:line="99" w:lineRule="exact"/>
        <w:rPr>
          <w:sz w:val="20"/>
          <w:szCs w:val="20"/>
          <w:color w:val="auto"/>
        </w:rPr>
      </w:pPr>
    </w:p>
    <w:p>
      <w:pPr>
        <w:ind w:left="1480" w:hanging="1454"/>
        <w:spacing w:after="0"/>
        <w:tabs>
          <w:tab w:leader="none" w:pos="14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31.3*</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31.4*</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32.</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97.</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97.1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KPMG LLP</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13a-14(a)/15d-14(a) Certifications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for Host Hotels &amp; Resorts, Inc. pursuant to Section 302 of the Sarbanes-Oxley Act of 2002.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 for Host Hotels &amp; Resorts, Inc. pursuant to Section 302 of the Sarbanes-Oxley Act of 2002.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for Host Hotels &amp; Resorts, L.P. pursuant to Section 302 of the Sarbanes-Oxley Act of 2002.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 for Host Hotels &amp; Resorts, L.P. pursuant to Section 302 of the Sarbanes-Oxley Act of 2002.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108" w:lineRule="exact"/>
        <w:rPr>
          <w:sz w:val="20"/>
          <w:szCs w:val="20"/>
          <w:color w:val="auto"/>
        </w:rPr>
      </w:pPr>
    </w:p>
    <w:p>
      <w:pPr>
        <w:ind w:right="34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and Chief Financial Officer for Host Hotels &amp; Resorts, Inc. pursuant to 18 U.S.C. 1350, as created by Section 906 of the Sarbanes-Oxley Act of 2002.†</w:t>
      </w:r>
    </w:p>
    <w:p>
      <w:pPr>
        <w:spacing w:after="0" w:line="64"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and Chief Financial Officer for Host Hotels &amp; Resorts, L.P. pursuant to 18 U.S.C. 1350, as created by Section 906 of the Sarbanes-Oxley Act of 2002.†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Relating to Recovery of Erroneously Awarded Compensation</w:t>
      </w:r>
    </w:p>
    <w:p>
      <w:pPr>
        <w:spacing w:after="0" w:line="108" w:lineRule="exact"/>
        <w:rPr>
          <w:sz w:val="20"/>
          <w:szCs w:val="20"/>
          <w:color w:val="auto"/>
        </w:rPr>
      </w:pPr>
    </w:p>
    <w:p>
      <w:pPr>
        <w:ind w:right="20"/>
        <w:spacing w:after="0" w:line="236" w:lineRule="auto"/>
        <w:rPr>
          <w:rFonts w:ascii="Times New Roman" w:cs="Times New Roman" w:eastAsia="Times New Roman" w:hAnsi="Times New Roman"/>
          <w:sz w:val="17"/>
          <w:szCs w:val="17"/>
          <w:u w:val="single" w:color="auto"/>
          <w:color w:val="0000FF"/>
        </w:rPr>
      </w:pPr>
      <w:hyperlink r:id="rId202">
        <w:r>
          <w:rPr>
            <w:rFonts w:ascii="Times New Roman" w:cs="Times New Roman" w:eastAsia="Times New Roman" w:hAnsi="Times New Roman"/>
            <w:sz w:val="17"/>
            <w:szCs w:val="17"/>
            <w:u w:val="single" w:color="auto"/>
            <w:color w:val="0000FF"/>
          </w:rPr>
          <w:t>Host Hotels &amp; Resorts, Inc. Policy for Recovery of Erroneously Awarded Compensation (incorporated by reference to Exhibit 97.1 to</w:t>
        </w:r>
      </w:hyperlink>
      <w:r>
        <w:rPr>
          <w:rFonts w:ascii="Times New Roman" w:cs="Times New Roman" w:eastAsia="Times New Roman" w:hAnsi="Times New Roman"/>
          <w:sz w:val="17"/>
          <w:szCs w:val="17"/>
          <w:u w:val="single" w:color="auto"/>
          <w:color w:val="0000FF"/>
        </w:rPr>
        <w:t xml:space="preserve"> </w:t>
      </w:r>
      <w:hyperlink r:id="rId202">
        <w:r>
          <w:rPr>
            <w:rFonts w:ascii="Times New Roman" w:cs="Times New Roman" w:eastAsia="Times New Roman" w:hAnsi="Times New Roman"/>
            <w:sz w:val="17"/>
            <w:szCs w:val="17"/>
            <w:u w:val="single" w:color="auto"/>
            <w:color w:val="0000FF"/>
          </w:rPr>
          <w:t>Host Hotels &amp; Resorts, Inc. and Host Hotels &amp; Resorts, L.P. Annual Report on Form 10-K for the year ended December 31, 2023, filed</w:t>
        </w:r>
      </w:hyperlink>
    </w:p>
    <w:p>
      <w:pPr>
        <w:spacing w:after="0"/>
        <w:rPr>
          <w:rFonts w:ascii="Times New Roman" w:cs="Times New Roman" w:eastAsia="Times New Roman" w:hAnsi="Times New Roman"/>
          <w:sz w:val="18"/>
          <w:szCs w:val="18"/>
          <w:u w:val="single" w:color="auto"/>
          <w:color w:val="0000FF"/>
        </w:rPr>
      </w:pPr>
      <w:hyperlink r:id="rId202">
        <w:r>
          <w:rPr>
            <w:rFonts w:ascii="Times New Roman" w:cs="Times New Roman" w:eastAsia="Times New Roman" w:hAnsi="Times New Roman"/>
            <w:sz w:val="18"/>
            <w:szCs w:val="18"/>
            <w:u w:val="single" w:color="auto"/>
            <w:color w:val="0000FF"/>
          </w:rPr>
          <w:t>on February 28, 2024).</w:t>
        </w:r>
      </w:hyperlink>
    </w:p>
    <w:p>
      <w:pPr>
        <w:spacing w:after="0" w:line="53" w:lineRule="exact"/>
        <w:rPr>
          <w:sz w:val="20"/>
          <w:szCs w:val="20"/>
          <w:color w:val="auto"/>
        </w:rPr>
      </w:pPr>
    </w:p>
    <w:p>
      <w:pPr>
        <w:sectPr>
          <w:pgSz w:w="11900" w:h="16838" w:orient="portrait"/>
          <w:cols w:equalWidth="0" w:num="2">
            <w:col w:w="1280" w:space="200"/>
            <w:col w:w="9760"/>
          </w:cols>
          <w:pgMar w:left="320" w:top="121" w:right="339" w:bottom="1440" w:gutter="0" w:footer="0" w:header="0"/>
        </w:sectPr>
      </w:pP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99.</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99.1*</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101</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Additional Exhibit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Ground Lease Summary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XBRL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Submitted electronically with this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Submitted electronically with this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Submitted electronically with this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Submitted electronically with this report.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electronically with this report.</w:t>
      </w:r>
    </w:p>
    <w:p>
      <w:pPr>
        <w:spacing w:after="0" w:line="10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(embedded within the Inline XBRL document) submitted under Exhibit 101.</w:t>
      </w:r>
    </w:p>
    <w:p>
      <w:pPr>
        <w:spacing w:after="0" w:line="189" w:lineRule="exact"/>
        <w:rPr>
          <w:sz w:val="20"/>
          <w:szCs w:val="20"/>
          <w:color w:val="auto"/>
        </w:rPr>
      </w:pPr>
    </w:p>
    <w:p>
      <w:pPr>
        <w:sectPr>
          <w:pgSz w:w="11900" w:h="16838" w:orient="portrait"/>
          <w:cols w:equalWidth="0" w:num="3">
            <w:col w:w="760" w:space="720"/>
            <w:col w:w="4840" w:space="80"/>
            <w:col w:w="4840"/>
          </w:cols>
          <w:pgMar w:left="320" w:top="121" w:right="339" w:bottom="1440" w:gutter="0" w:footer="0" w:header="0"/>
          <w:type w:val="continuous"/>
        </w:sectPr>
      </w:pPr>
    </w:p>
    <w:p>
      <w:pPr>
        <w:spacing w:after="0" w:line="252" w:lineRule="auto"/>
        <w:rPr>
          <w:sz w:val="20"/>
          <w:szCs w:val="20"/>
          <w:color w:val="auto"/>
        </w:rPr>
      </w:pPr>
      <w:r>
        <w:rPr>
          <w:rFonts w:ascii="Times New Roman" w:cs="Times New Roman" w:eastAsia="Times New Roman" w:hAnsi="Times New Roman"/>
          <w:sz w:val="18"/>
          <w:szCs w:val="18"/>
          <w:color w:val="auto"/>
        </w:rPr>
        <w:t>Attached as Exhibit 101 to this report are the following documents formatted in iXBRL (Inline Extensible Business Reporting Language): (i) the Consolidated Statements of Operations for the Years ended December 31, 2025, 2024 and 2023, respectively, for Host Hotels &amp; Resorts, Inc.; (ii) the Consolidated Balance Sheets at December 31, 2025 and December 31, 2024, respectively, for Host Hotels &amp; Resorts, Inc.; (iii) the Consolidated Statements of Comprehensive Income for the Years ended December 31, 2025, 2024 and 2023, respectively, for Host Hotels &amp; Resorts, Inc.; (iv) the Consolidated Statements of Equity for the Years ended December 31, 2025, 2024 and 2023, respectively, for Host Hotels &amp; Resorts, Inc.; (v) the Consolidated Statements of Cash Flows for the Years ended December 31, 2025, 2024 and 2023, respectively, for Host Hotels &amp; Resorts, Inc.; (vi) the Consolidated Statements of Operations for the Years ended December 31, 2025, 2024 and 2023, respectively, for Host Hotels &amp; Resorts, L.P.; (vii) the Consolidated Balance Sheets at December 31, 2025 and December 31, 2024, respectively, for Host Hotels &amp; Resorts, L.P.; (viii) the Consolidated Statements of Comprehensive Income for the Years ended December 31, 2025, 2024 and 2023, respectively, for Host Hotels &amp; Resorts, L.P.; (ix) the Consolidated Statements of Capital for the Years ended December 31, 2025, 2024 and 2023, respectively, for Host Hotels &amp; Resorts, L.P.; (x) the Consolidated Statements of Cash Flows for the Years ended December 31, 2025, 2024 and 2023, respectively, for Host Hotels &amp; Resorts, L.P.; and (xi) Notes to the Consolidated Financial Statements that have been detail tagged.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or furnished herewith.</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hanging="172"/>
        <w:spacing w:after="0" w:line="266" w:lineRule="auto"/>
        <w:tabs>
          <w:tab w:leader="none" w:pos="17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is being furnished solely to accompany the report pursuant to 18 U.S.C.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3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Item 16. Form 10</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K Summary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0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HOST HOTELS &amp; RESORTS, INC.</w:t>
      </w:r>
    </w:p>
    <w:p>
      <w:pPr>
        <w:spacing w:after="0" w:line="320" w:lineRule="exact"/>
        <w:rPr>
          <w:sz w:val="20"/>
          <w:szCs w:val="20"/>
          <w:color w:val="auto"/>
        </w:rPr>
      </w:pPr>
    </w:p>
    <w:p>
      <w:pPr>
        <w:ind w:left="20"/>
        <w:spacing w:after="0"/>
        <w:tabs>
          <w:tab w:leader="none" w:pos="5700" w:val="left"/>
          <w:tab w:leader="none" w:pos="8000" w:val="left"/>
        </w:tabs>
        <w:rPr>
          <w:sz w:val="20"/>
          <w:szCs w:val="20"/>
          <w:color w:val="auto"/>
        </w:rPr>
      </w:pPr>
      <w:r>
        <w:rPr>
          <w:rFonts w:ascii="Times New Roman" w:cs="Times New Roman" w:eastAsia="Times New Roman" w:hAnsi="Times New Roman"/>
          <w:sz w:val="18"/>
          <w:szCs w:val="18"/>
          <w:color w:val="auto"/>
        </w:rPr>
        <w:t>Date: February 25,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SOURAV GHOSH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26035</wp:posOffset>
            </wp:positionV>
            <wp:extent cx="30861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3"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8"/>
          <w:szCs w:val="18"/>
          <w:b w:val="1"/>
          <w:bCs w:val="1"/>
          <w:color w:val="auto"/>
        </w:rPr>
        <w:t>Sourav Ghosh</w:t>
      </w:r>
    </w:p>
    <w:p>
      <w:pPr>
        <w:spacing w:after="0" w:line="31"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32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1" w:right="339" w:bottom="1440" w:gutter="0" w:footer="0" w:header="0"/>
        </w:sectPr>
      </w:pPr>
    </w:p>
    <w:p>
      <w:pPr>
        <w:spacing w:after="0" w:line="9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3317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0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RICHARD E. MARRIOTT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317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Richard E. Marriott</w:t>
      </w:r>
    </w:p>
    <w:p>
      <w:pPr>
        <w:spacing w:after="0" w:line="1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JAMES F. RISOLEO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317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James F. Risoleo</w:t>
      </w:r>
    </w:p>
    <w:p>
      <w:pPr>
        <w:spacing w:after="0" w:line="1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SOURAV GHOSH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317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Sourav Ghosh</w:t>
      </w:r>
    </w:p>
    <w:p>
      <w:pPr>
        <w:spacing w:after="0" w:line="1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JOSEPH C. OTTINGER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317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Joseph C. Ottinger</w:t>
      </w:r>
    </w:p>
    <w:p>
      <w:pPr>
        <w:spacing w:after="0" w:line="1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MARY L. BAGLIVO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317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Mary L. Baglivo</w:t>
      </w:r>
    </w:p>
    <w:p>
      <w:pPr>
        <w:spacing w:after="0" w:line="1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 HERMAN E. BULLS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317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8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Herman E. Bulls</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 DIANA M. LAING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317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Diana M. Laing</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/s/ MARY HOGAN PREUSSE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23317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5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Mary Hogan Preusse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 WALTER C. RAKOWICH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317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Walter C. Rakowich</w:t>
      </w:r>
    </w:p>
    <w:p>
      <w:pPr>
        <w:spacing w:after="0" w:line="1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 GORDON H.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317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Gordon H. Smith</w:t>
      </w:r>
    </w:p>
    <w:p>
      <w:pPr>
        <w:spacing w:after="0" w:line="1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 A. WILLIAM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317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 William Stein</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4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77"/>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589"/>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34"/>
        </w:trPr>
        <w:tc>
          <w:tcPr>
            <w:tcW w:w="4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 (Principal Executive Officer)</w:t>
            </w:r>
          </w:p>
        </w:tc>
        <w:tc>
          <w:tcPr>
            <w:tcW w:w="2920" w:type="dxa"/>
            <w:vAlign w:val="bottom"/>
          </w:tcPr>
          <w:p>
            <w:pPr>
              <w:spacing w:after="0"/>
              <w:rPr>
                <w:sz w:val="20"/>
                <w:szCs w:val="20"/>
                <w:color w:val="auto"/>
              </w:rPr>
            </w:pPr>
          </w:p>
        </w:tc>
      </w:tr>
      <w:tr>
        <w:trPr>
          <w:trHeight w:val="333"/>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34"/>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920" w:type="dxa"/>
            <w:vAlign w:val="bottom"/>
          </w:tcPr>
          <w:p>
            <w:pPr>
              <w:spacing w:after="0"/>
              <w:rPr>
                <w:sz w:val="20"/>
                <w:szCs w:val="20"/>
                <w:color w:val="auto"/>
              </w:rPr>
            </w:pPr>
          </w:p>
        </w:tc>
      </w:tr>
      <w:tr>
        <w:trPr>
          <w:trHeight w:val="360"/>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Senior Vice President, Corporate Controller (Principal</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34"/>
        </w:trPr>
        <w:tc>
          <w:tcPr>
            <w:tcW w:w="4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2920" w:type="dxa"/>
            <w:vAlign w:val="bottom"/>
          </w:tcPr>
          <w:p>
            <w:pPr>
              <w:spacing w:after="0"/>
              <w:rPr>
                <w:sz w:val="20"/>
                <w:szCs w:val="20"/>
                <w:color w:val="auto"/>
              </w:rPr>
            </w:pPr>
          </w:p>
        </w:tc>
      </w:tr>
      <w:tr>
        <w:trPr>
          <w:trHeight w:val="392"/>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594"/>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580"/>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662"/>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580"/>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594"/>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594"/>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bl>
    <w:p>
      <w:pPr>
        <w:spacing w:after="0" w:line="452" w:lineRule="exact"/>
        <w:rPr>
          <w:sz w:val="20"/>
          <w:szCs w:val="20"/>
          <w:color w:val="auto"/>
        </w:rPr>
      </w:pPr>
    </w:p>
    <w:p>
      <w:pPr>
        <w:sectPr>
          <w:pgSz w:w="11900" w:h="16838" w:orient="portrait"/>
          <w:cols w:equalWidth="0" w:num="2">
            <w:col w:w="3060" w:space="720"/>
            <w:col w:w="7460"/>
          </w:cols>
          <w:pgMar w:left="320" w:top="121" w:right="33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6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HOST HOTELS &amp; RESORTS, L.P.</w:t>
            </w:r>
          </w:p>
        </w:tc>
      </w:tr>
      <w:tr>
        <w:trPr>
          <w:trHeight w:val="405"/>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2026</w:t>
            </w:r>
          </w:p>
        </w:tc>
        <w:tc>
          <w:tcPr>
            <w:tcW w:w="25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HOST HOTELS &amp; RESORTS, INC., its general partner</w:t>
            </w:r>
          </w:p>
        </w:tc>
      </w:tr>
      <w:tr>
        <w:trPr>
          <w:trHeight w:val="412"/>
        </w:trPr>
        <w:tc>
          <w:tcPr>
            <w:tcW w:w="3660" w:type="dxa"/>
            <w:vAlign w:val="bottom"/>
          </w:tcPr>
          <w:p>
            <w:pPr>
              <w:spacing w:after="0"/>
              <w:rPr>
                <w:sz w:val="24"/>
                <w:szCs w:val="24"/>
                <w:color w:val="auto"/>
              </w:rPr>
            </w:pPr>
          </w:p>
        </w:tc>
        <w:tc>
          <w:tcPr>
            <w:tcW w:w="25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SOURAV GHOSH</w:t>
            </w:r>
          </w:p>
        </w:tc>
      </w:tr>
      <w:tr>
        <w:trPr>
          <w:trHeight w:val="257"/>
        </w:trPr>
        <w:tc>
          <w:tcPr>
            <w:tcW w:w="36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Sourav Ghosh</w:t>
            </w:r>
          </w:p>
        </w:tc>
      </w:tr>
    </w:tbl>
    <w:p>
      <w:pPr>
        <w:ind w:left="670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32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this report has been signed below by the following officers and directors of Host Hotels &amp; Resorts, Inc., the general partner of the registrant, and in the capacities and on the dates indicated.</w:t>
      </w:r>
    </w:p>
    <w:p>
      <w:pPr>
        <w:sectPr>
          <w:pgSz w:w="11900" w:h="16838" w:orient="portrait"/>
          <w:cols w:equalWidth="0" w:num="1">
            <w:col w:w="11240"/>
          </w:cols>
          <w:pgMar w:left="320" w:top="121" w:right="339" w:bottom="1440" w:gutter="0" w:footer="0" w:header="0"/>
        </w:sectPr>
      </w:pPr>
    </w:p>
    <w:p>
      <w:pPr>
        <w:spacing w:after="0" w:line="19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0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RICHARD E. MARRIOTT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3317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5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Richard E. Marriott</w:t>
      </w:r>
    </w:p>
    <w:p>
      <w:pPr>
        <w:spacing w:after="0" w:line="9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JAMES F. RISOLEO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3317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5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James F. Risoleo</w:t>
      </w:r>
    </w:p>
    <w:p>
      <w:pPr>
        <w:spacing w:after="0" w:line="9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SOURAV GHOSH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3317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5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Sourav Ghosh</w:t>
      </w:r>
    </w:p>
    <w:p>
      <w:pPr>
        <w:spacing w:after="0" w:line="9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JOSEPH C. OTTINGER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3317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5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Joseph C. Ottinger</w:t>
      </w:r>
    </w:p>
    <w:p>
      <w:pPr>
        <w:spacing w:after="0" w:line="9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MARY L. BAGLIVO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3317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5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Mary L. Baglivo</w:t>
      </w:r>
    </w:p>
    <w:p>
      <w:pPr>
        <w:spacing w:after="0" w:line="9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HERMAN E. BULLS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3317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5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Herman E. Bulls</w:t>
      </w:r>
    </w:p>
    <w:p>
      <w:pPr>
        <w:spacing w:after="0" w:line="9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DIANA M. LAING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3317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5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Diana M. Laing</w:t>
      </w:r>
    </w:p>
    <w:p>
      <w:pPr>
        <w:spacing w:after="0" w:line="9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/s/ MARY HOGAN PREUSSE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23317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Mary Hogan Preusse</w:t>
      </w:r>
    </w:p>
    <w:p>
      <w:pPr>
        <w:spacing w:after="0" w:line="9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WALTER C. RAKOWICH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3317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5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Walter C. Rakowich</w:t>
      </w:r>
    </w:p>
    <w:p>
      <w:pPr>
        <w:spacing w:after="0" w:line="9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GORDON H.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3317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5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Gordon H. Smith</w:t>
      </w:r>
    </w:p>
    <w:p>
      <w:pPr>
        <w:spacing w:after="0" w:line="9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A. WILLIAM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3317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5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A. William Stein</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jc w:val="center"/>
              <w:ind w:right="491"/>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00" w:type="dxa"/>
            <w:vAlign w:val="bottom"/>
          </w:tcPr>
          <w:p>
            <w:pPr>
              <w:jc w:val="center"/>
              <w:ind w:left="49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07"/>
        </w:trPr>
        <w:tc>
          <w:tcPr>
            <w:tcW w:w="450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190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526"/>
        </w:trPr>
        <w:tc>
          <w:tcPr>
            <w:tcW w:w="450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190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34"/>
        </w:trPr>
        <w:tc>
          <w:tcPr>
            <w:tcW w:w="4500" w:type="dxa"/>
            <w:vAlign w:val="bottom"/>
          </w:tcPr>
          <w:p>
            <w:pPr>
              <w:jc w:val="center"/>
              <w:ind w:right="471"/>
              <w:spacing w:after="0"/>
              <w:rPr>
                <w:sz w:val="20"/>
                <w:szCs w:val="20"/>
                <w:color w:val="auto"/>
              </w:rPr>
            </w:pPr>
            <w:r>
              <w:rPr>
                <w:rFonts w:ascii="Times New Roman" w:cs="Times New Roman" w:eastAsia="Times New Roman" w:hAnsi="Times New Roman"/>
                <w:sz w:val="18"/>
                <w:szCs w:val="18"/>
                <w:color w:val="auto"/>
                <w:w w:val="99"/>
              </w:rPr>
              <w:t>Director (Principal Executive Officer)</w:t>
            </w:r>
          </w:p>
        </w:tc>
        <w:tc>
          <w:tcPr>
            <w:tcW w:w="1900" w:type="dxa"/>
            <w:vAlign w:val="bottom"/>
          </w:tcPr>
          <w:p>
            <w:pPr>
              <w:spacing w:after="0"/>
              <w:rPr>
                <w:sz w:val="20"/>
                <w:szCs w:val="20"/>
                <w:color w:val="auto"/>
              </w:rPr>
            </w:pPr>
          </w:p>
        </w:tc>
      </w:tr>
      <w:tr>
        <w:trPr>
          <w:trHeight w:val="346"/>
        </w:trPr>
        <w:tc>
          <w:tcPr>
            <w:tcW w:w="450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190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34"/>
        </w:trPr>
        <w:tc>
          <w:tcPr>
            <w:tcW w:w="450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900" w:type="dxa"/>
            <w:vAlign w:val="bottom"/>
          </w:tcPr>
          <w:p>
            <w:pPr>
              <w:spacing w:after="0"/>
              <w:rPr>
                <w:sz w:val="20"/>
                <w:szCs w:val="20"/>
                <w:color w:val="auto"/>
              </w:rPr>
            </w:pPr>
          </w:p>
        </w:tc>
      </w:tr>
      <w:tr>
        <w:trPr>
          <w:trHeight w:val="346"/>
        </w:trPr>
        <w:tc>
          <w:tcPr>
            <w:tcW w:w="450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w w:val="99"/>
              </w:rPr>
              <w:t>Senior Vice President, Corporate Controller (Principal</w:t>
            </w:r>
          </w:p>
        </w:tc>
        <w:tc>
          <w:tcPr>
            <w:tcW w:w="190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34"/>
        </w:trPr>
        <w:tc>
          <w:tcPr>
            <w:tcW w:w="4500" w:type="dxa"/>
            <w:vAlign w:val="bottom"/>
          </w:tcPr>
          <w:p>
            <w:pPr>
              <w:jc w:val="center"/>
              <w:ind w:right="471"/>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1900" w:type="dxa"/>
            <w:vAlign w:val="bottom"/>
          </w:tcPr>
          <w:p>
            <w:pPr>
              <w:spacing w:after="0"/>
              <w:rPr>
                <w:sz w:val="20"/>
                <w:szCs w:val="20"/>
                <w:color w:val="auto"/>
              </w:rPr>
            </w:pPr>
          </w:p>
        </w:tc>
      </w:tr>
      <w:tr>
        <w:trPr>
          <w:trHeight w:val="400"/>
        </w:trPr>
        <w:tc>
          <w:tcPr>
            <w:tcW w:w="450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580"/>
        </w:trPr>
        <w:tc>
          <w:tcPr>
            <w:tcW w:w="450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580"/>
        </w:trPr>
        <w:tc>
          <w:tcPr>
            <w:tcW w:w="450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580"/>
        </w:trPr>
        <w:tc>
          <w:tcPr>
            <w:tcW w:w="450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580"/>
        </w:trPr>
        <w:tc>
          <w:tcPr>
            <w:tcW w:w="450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580"/>
        </w:trPr>
        <w:tc>
          <w:tcPr>
            <w:tcW w:w="450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580"/>
        </w:trPr>
        <w:tc>
          <w:tcPr>
            <w:tcW w:w="450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9"/>
              </w:rPr>
              <w:t>February 25, 2026</w:t>
            </w:r>
          </w:p>
        </w:tc>
      </w:tr>
    </w:tbl>
    <w:p>
      <w:pPr>
        <w:spacing w:after="0" w:line="452" w:lineRule="exact"/>
        <w:rPr>
          <w:sz w:val="20"/>
          <w:szCs w:val="20"/>
          <w:color w:val="auto"/>
        </w:rPr>
      </w:pPr>
    </w:p>
    <w:p>
      <w:pPr>
        <w:sectPr>
          <w:pgSz w:w="11900" w:h="16838" w:orient="portrait"/>
          <w:cols w:equalWidth="0" w:num="2">
            <w:col w:w="3320" w:space="720"/>
            <w:col w:w="7200"/>
          </w:cols>
          <w:pgMar w:left="320" w:top="121" w:right="33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1 of 5</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REAL ESTATE AND ACCUMULATED DEPRECIATION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Borders>
              <w:bottom w:val="single" w:sz="8" w:color="auto"/>
            </w:tcBorders>
            <w:gridSpan w:val="4"/>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Initial Cost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8"/>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7"/>
              </w:rPr>
              <w:t>Gross Amount at December 31, 2025</w:t>
            </w:r>
          </w:p>
        </w:tc>
        <w:tc>
          <w:tcPr>
            <w:tcW w:w="3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Buildings &amp;</w:t>
            </w:r>
          </w:p>
        </w:tc>
        <w:tc>
          <w:tcPr>
            <w:tcW w:w="120" w:type="dxa"/>
            <w:vAlign w:val="bottom"/>
          </w:tcPr>
          <w:p>
            <w:pPr>
              <w:spacing w:after="0"/>
              <w:rPr>
                <w:sz w:val="9"/>
                <w:szCs w:val="9"/>
                <w:color w:val="auto"/>
              </w:rPr>
            </w:pPr>
          </w:p>
        </w:tc>
        <w:tc>
          <w:tcPr>
            <w:tcW w:w="9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Subsequent</w:t>
            </w:r>
          </w:p>
        </w:tc>
        <w:tc>
          <w:tcPr>
            <w:tcW w:w="100" w:type="dxa"/>
            <w:vAlign w:val="bottom"/>
          </w:tcPr>
          <w:p>
            <w:pPr>
              <w:spacing w:after="0"/>
              <w:rPr>
                <w:sz w:val="9"/>
                <w:szCs w:val="9"/>
                <w:color w:val="auto"/>
              </w:rPr>
            </w:pPr>
          </w:p>
        </w:tc>
        <w:tc>
          <w:tcPr>
            <w:tcW w:w="66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Foreign</w:t>
            </w: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Buildings &amp;</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8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rPr>
              <w:t>Date of</w:t>
            </w: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Depreciation</w:t>
            </w:r>
          </w:p>
        </w:tc>
        <w:tc>
          <w:tcPr>
            <w:tcW w:w="0" w:type="dxa"/>
            <w:vAlign w:val="bottom"/>
          </w:tcPr>
          <w:p>
            <w:pPr>
              <w:spacing w:after="0"/>
              <w:rPr>
                <w:sz w:val="1"/>
                <w:szCs w:val="1"/>
                <w:color w:val="auto"/>
              </w:rPr>
            </w:pPr>
          </w:p>
        </w:tc>
      </w:tr>
      <w:tr>
        <w:trPr>
          <w:trHeight w:val="122"/>
        </w:trPr>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Costs</w:t>
            </w:r>
          </w:p>
        </w:tc>
        <w:tc>
          <w:tcPr>
            <w:tcW w:w="76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Currency</w:t>
            </w: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98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Completion of</w:t>
            </w:r>
          </w:p>
        </w:tc>
        <w:tc>
          <w:tcPr>
            <w:tcW w:w="72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Debt</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Land</w:t>
            </w: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106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3"/>
                <w:szCs w:val="13"/>
                <w:b w:val="1"/>
                <w:bCs w:val="1"/>
                <w:color w:val="auto"/>
                <w:w w:val="93"/>
              </w:rPr>
              <w:t xml:space="preserve">Capitalized, net </w:t>
            </w:r>
            <w:r>
              <w:rPr>
                <w:rFonts w:ascii="MS PGothic" w:cs="MS PGothic" w:eastAsia="MS PGothic" w:hAnsi="MS PGothic"/>
                <w:sz w:val="16"/>
                <w:szCs w:val="16"/>
                <w:color w:val="auto"/>
                <w:w w:val="93"/>
                <w:vertAlign w:val="superscript"/>
              </w:rPr>
              <w:t>⁽</w:t>
            </w:r>
            <w:r>
              <w:rPr>
                <w:rFonts w:ascii="Times New Roman" w:cs="Times New Roman" w:eastAsia="Times New Roman" w:hAnsi="Times New Roman"/>
                <w:sz w:val="16"/>
                <w:szCs w:val="16"/>
                <w:b w:val="1"/>
                <w:bCs w:val="1"/>
                <w:color w:val="auto"/>
                <w:w w:val="93"/>
                <w:vertAlign w:val="superscript"/>
              </w:rPr>
              <w:t>¹</w:t>
            </w:r>
            <w:r>
              <w:rPr>
                <w:rFonts w:ascii="MS PGothic" w:cs="MS PGothic" w:eastAsia="MS PGothic" w:hAnsi="MS PGothic"/>
                <w:sz w:val="16"/>
                <w:szCs w:val="16"/>
                <w:color w:val="auto"/>
                <w:w w:val="93"/>
                <w:vertAlign w:val="superscript"/>
              </w:rPr>
              <w:t>⁾</w:t>
            </w: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Adjustment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Land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Construction</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Acquired</w:t>
            </w:r>
          </w:p>
        </w:tc>
        <w:tc>
          <w:tcPr>
            <w:tcW w:w="76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Life</w:t>
            </w:r>
          </w:p>
        </w:tc>
        <w:tc>
          <w:tcPr>
            <w:tcW w:w="0" w:type="dxa"/>
            <w:vAlign w:val="bottom"/>
          </w:tcPr>
          <w:p>
            <w:pPr>
              <w:spacing w:after="0"/>
              <w:rPr>
                <w:sz w:val="1"/>
                <w:szCs w:val="1"/>
                <w:color w:val="auto"/>
              </w:rPr>
            </w:pPr>
          </w:p>
        </w:tc>
      </w:tr>
      <w:tr>
        <w:trPr>
          <w:trHeight w:val="169"/>
        </w:trPr>
        <w:tc>
          <w:tcPr>
            <w:tcW w:w="1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Hotels:</w:t>
            </w:r>
          </w:p>
        </w:tc>
        <w:tc>
          <w:tcPr>
            <w:tcW w:w="80" w:type="dxa"/>
            <w:vAlign w:val="bottom"/>
            <w:tcBorders>
              <w:top w:val="single" w:sz="8" w:color="CFF0FC"/>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spacing w:after="0"/>
              <w:rPr>
                <w:sz w:val="14"/>
                <w:szCs w:val="14"/>
                <w:color w:val="auto"/>
              </w:rPr>
            </w:pPr>
          </w:p>
        </w:tc>
        <w:tc>
          <w:tcPr>
            <w:tcW w:w="4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 Hotel Central Park</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98</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98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250</w:t>
            </w:r>
          </w:p>
        </w:tc>
        <w:tc>
          <w:tcPr>
            <w:tcW w:w="80" w:type="dxa"/>
            <w:vAlign w:val="bottom"/>
          </w:tcPr>
          <w:p>
            <w:pPr>
              <w:spacing w:after="0"/>
              <w:rPr>
                <w:sz w:val="14"/>
                <w:szCs w:val="14"/>
                <w:color w:val="auto"/>
              </w:rPr>
            </w:pPr>
          </w:p>
        </w:tc>
        <w:tc>
          <w:tcPr>
            <w:tcW w:w="46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81"/>
        </w:trPr>
        <w:tc>
          <w:tcPr>
            <w:tcW w:w="1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 Hotel South Beach</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70"/>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AC Hotel Scottsdale North</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90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2020</w:t>
            </w:r>
          </w:p>
        </w:tc>
        <w:tc>
          <w:tcPr>
            <w:tcW w:w="80" w:type="dxa"/>
            <w:vAlign w:val="bottom"/>
          </w:tcPr>
          <w:p>
            <w:pPr>
              <w:spacing w:after="0"/>
              <w:rPr>
                <w:sz w:val="14"/>
                <w:szCs w:val="14"/>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81"/>
        </w:trPr>
        <w:tc>
          <w:tcPr>
            <w:tcW w:w="1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Alila Ventana Big Sur</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70"/>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Andaz Maui at Wailea Resort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4"/>
                <w:szCs w:val="14"/>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81"/>
        </w:trPr>
        <w:tc>
          <w:tcPr>
            <w:tcW w:w="1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Axiom Hotel</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22"/>
        </w:trPr>
        <w:tc>
          <w:tcPr>
            <w:tcW w:w="1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Baker's Cay Resort Key Largo,</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Curio Collection by Hilton</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5"/>
                <w:szCs w:val="15"/>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83"/>
        </w:trPr>
        <w:tc>
          <w:tcPr>
            <w:tcW w:w="1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Boston Marriott Copley Place</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70"/>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Calgary Marriott Downtown Hotel</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2"/>
              </w:rPr>
              <w:t>(6)</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Pr>
          <w:p>
            <w:pPr>
              <w:spacing w:after="0"/>
              <w:rPr>
                <w:sz w:val="14"/>
                <w:szCs w:val="14"/>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1996</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27"/>
        </w:trPr>
        <w:tc>
          <w:tcPr>
            <w:tcW w:w="1980" w:type="dxa"/>
            <w:vAlign w:val="bottom"/>
            <w:gridSpan w:val="2"/>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color w:val="auto"/>
              </w:rPr>
              <w:t>Coronado Island Marriott Resort &amp;</w:t>
            </w: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Spa</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70"/>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Denver Marriott Tech Center</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Pr>
          <w:p>
            <w:pPr>
              <w:spacing w:after="0"/>
              <w:rPr>
                <w:sz w:val="14"/>
                <w:szCs w:val="14"/>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1994</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81"/>
        </w:trPr>
        <w:tc>
          <w:tcPr>
            <w:tcW w:w="1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Denver Marriott West</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1983</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22"/>
        </w:trPr>
        <w:tc>
          <w:tcPr>
            <w:tcW w:w="1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Embassy Suites by Hilton Chicago</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Downtown Magnificent Mile</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5"/>
                <w:szCs w:val="15"/>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83"/>
        </w:trPr>
        <w:tc>
          <w:tcPr>
            <w:tcW w:w="1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Fairmont Kea Lani, Maui</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22"/>
        </w:trPr>
        <w:tc>
          <w:tcPr>
            <w:tcW w:w="1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Four Seasons Resort Orlando at Walt</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Disney World® Resort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5"/>
                <w:szCs w:val="15"/>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29"/>
        </w:trPr>
        <w:tc>
          <w:tcPr>
            <w:tcW w:w="1980" w:type="dxa"/>
            <w:vAlign w:val="bottom"/>
            <w:gridSpan w:val="2"/>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Four Seasons Resort and Residences</w:t>
            </w: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Jackson Hole</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22"/>
        </w:trPr>
        <w:tc>
          <w:tcPr>
            <w:tcW w:w="1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Gaithersburg Marriott</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Washingtonian Center</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5"/>
                <w:szCs w:val="15"/>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1993</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83"/>
        </w:trPr>
        <w:tc>
          <w:tcPr>
            <w:tcW w:w="1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Grand Hyatt Atlanta in Buckhead</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70"/>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Grand Hyatt San Francisco</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Pr>
          <w:p>
            <w:pPr>
              <w:spacing w:after="0"/>
              <w:rPr>
                <w:sz w:val="14"/>
                <w:szCs w:val="14"/>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81"/>
        </w:trPr>
        <w:tc>
          <w:tcPr>
            <w:tcW w:w="1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Grand Hyatt Washington</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2012</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70"/>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Hotel Van Zandt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63"/>
        </w:trPr>
        <w:tc>
          <w:tcPr>
            <w:tcW w:w="1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Houston Airport Marriott at George</w:t>
            </w:r>
          </w:p>
        </w:tc>
        <w:tc>
          <w:tcPr>
            <w:tcW w:w="5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vMerge w:val="restart"/>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shd w:val="clear" w:color="auto" w:fill="CFF0FC"/>
          </w:tcPr>
          <w:p>
            <w:pPr>
              <w:spacing w:after="0"/>
              <w:rPr>
                <w:sz w:val="14"/>
                <w:szCs w:val="14"/>
                <w:color w:val="auto"/>
              </w:rPr>
            </w:pPr>
          </w:p>
        </w:tc>
        <w:tc>
          <w:tcPr>
            <w:tcW w:w="980" w:type="dxa"/>
            <w:vAlign w:val="bottom"/>
            <w:gridSpan w:val="2"/>
            <w:vMerge w:val="restart"/>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1984</w:t>
            </w: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Bush Intercontinental</w:t>
            </w:r>
          </w:p>
        </w:tc>
        <w:tc>
          <w:tcPr>
            <w:tcW w:w="540" w:type="dxa"/>
            <w:vAlign w:val="bottom"/>
            <w:gridSpan w:val="2"/>
            <w:vMerge w:val="continue"/>
            <w:shd w:val="clear" w:color="auto" w:fill="CFF0FC"/>
          </w:tcPr>
          <w:p>
            <w:pPr>
              <w:spacing w:after="0"/>
              <w:rPr>
                <w:sz w:val="15"/>
                <w:szCs w:val="15"/>
                <w:color w:val="auto"/>
              </w:rPr>
            </w:pPr>
          </w:p>
        </w:tc>
        <w:tc>
          <w:tcPr>
            <w:tcW w:w="54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gridSpan w:val="2"/>
            <w:vMerge w:val="continue"/>
            <w:shd w:val="clear" w:color="auto" w:fill="CFF0FC"/>
          </w:tcPr>
          <w:p>
            <w:pPr>
              <w:spacing w:after="0"/>
              <w:rPr>
                <w:sz w:val="15"/>
                <w:szCs w:val="15"/>
                <w:color w:val="auto"/>
              </w:rPr>
            </w:pPr>
          </w:p>
        </w:tc>
        <w:tc>
          <w:tcPr>
            <w:tcW w:w="420" w:type="dxa"/>
            <w:vAlign w:val="bottom"/>
            <w:vMerge w:val="continue"/>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2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gridSpan w:val="2"/>
            <w:vMerge w:val="continue"/>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5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Houston Marriott Medical</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3"/>
                <w:szCs w:val="13"/>
                <w:color w:val="auto"/>
              </w:rPr>
            </w:pPr>
          </w:p>
        </w:tc>
        <w:tc>
          <w:tcPr>
            <w:tcW w:w="980" w:type="dxa"/>
            <w:vAlign w:val="bottom"/>
            <w:gridSpan w:val="2"/>
            <w:vMerge w:val="restart"/>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Center/Museum District</w:t>
            </w:r>
          </w:p>
        </w:tc>
        <w:tc>
          <w:tcPr>
            <w:tcW w:w="54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211"/>
        </w:trPr>
        <w:tc>
          <w:tcPr>
            <w:tcW w:w="1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Hyatt Place Waikiki Beach</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2013</w:t>
            </w: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94"/>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Hyatt Regency Austin</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6"/>
                <w:szCs w:val="16"/>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5"/>
        </w:trPr>
        <w:tc>
          <w:tcPr>
            <w:tcW w:w="1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Hyatt Regency Coconut Point Resort</w:t>
            </w:r>
          </w:p>
        </w:tc>
        <w:tc>
          <w:tcPr>
            <w:tcW w:w="5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vMerge w:val="restart"/>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80" w:type="dxa"/>
            <w:vAlign w:val="bottom"/>
            <w:shd w:val="clear" w:color="auto" w:fill="CFF0FC"/>
          </w:tcPr>
          <w:p>
            <w:pPr>
              <w:spacing w:after="0"/>
              <w:rPr>
                <w:sz w:val="14"/>
                <w:szCs w:val="14"/>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shd w:val="clear" w:color="auto" w:fill="CFF0FC"/>
          </w:tcPr>
          <w:p>
            <w:pPr>
              <w:spacing w:after="0"/>
              <w:rPr>
                <w:sz w:val="14"/>
                <w:szCs w:val="14"/>
                <w:color w:val="auto"/>
              </w:rPr>
            </w:pPr>
          </w:p>
        </w:tc>
        <w:tc>
          <w:tcPr>
            <w:tcW w:w="980" w:type="dxa"/>
            <w:vAlign w:val="bottom"/>
            <w:gridSpan w:val="2"/>
            <w:vMerge w:val="restart"/>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8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80"/>
        </w:trPr>
        <w:tc>
          <w:tcPr>
            <w:tcW w:w="1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and Spa</w:t>
            </w:r>
          </w:p>
        </w:tc>
        <w:tc>
          <w:tcPr>
            <w:tcW w:w="540" w:type="dxa"/>
            <w:vAlign w:val="bottom"/>
            <w:gridSpan w:val="2"/>
            <w:vMerge w:val="continue"/>
            <w:shd w:val="clear" w:color="auto" w:fill="CFF0FC"/>
          </w:tcPr>
          <w:p>
            <w:pPr>
              <w:spacing w:after="0"/>
              <w:rPr>
                <w:sz w:val="15"/>
                <w:szCs w:val="15"/>
                <w:color w:val="auto"/>
              </w:rPr>
            </w:pPr>
          </w:p>
        </w:tc>
        <w:tc>
          <w:tcPr>
            <w:tcW w:w="46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gridSpan w:val="2"/>
            <w:vMerge w:val="continue"/>
            <w:shd w:val="clear" w:color="auto" w:fill="CFF0FC"/>
          </w:tcPr>
          <w:p>
            <w:pPr>
              <w:spacing w:after="0"/>
              <w:rPr>
                <w:sz w:val="15"/>
                <w:szCs w:val="15"/>
                <w:color w:val="auto"/>
              </w:rPr>
            </w:pPr>
          </w:p>
        </w:tc>
        <w:tc>
          <w:tcPr>
            <w:tcW w:w="420" w:type="dxa"/>
            <w:vAlign w:val="bottom"/>
            <w:vMerge w:val="continue"/>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2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gridSpan w:val="2"/>
            <w:vMerge w:val="continue"/>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3121660</wp:posOffset>
            </wp:positionH>
            <wp:positionV relativeFrom="paragraph">
              <wp:posOffset>-3996690</wp:posOffset>
            </wp:positionV>
            <wp:extent cx="59055" cy="533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59055" cy="5334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2 of 5</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REAL ESTATE AND ACCUMULATED DEPRECIATION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Initial Cost</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54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Gross Amount at December 31, 2025</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Subsequent</w:t>
            </w: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Foreign</w:t>
            </w:r>
          </w:p>
        </w:tc>
        <w:tc>
          <w:tcPr>
            <w:tcW w:w="5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w w:val="94"/>
              </w:rPr>
              <w:t>Date of</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Buildings &amp;</w:t>
            </w:r>
          </w:p>
        </w:tc>
        <w:tc>
          <w:tcPr>
            <w:tcW w:w="104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Buildings &amp;</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6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5"/>
              </w:rPr>
              <w:t>Completion</w:t>
            </w: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Depreciation</w:t>
            </w:r>
          </w:p>
        </w:tc>
        <w:tc>
          <w:tcPr>
            <w:tcW w:w="0" w:type="dxa"/>
            <w:vAlign w:val="bottom"/>
          </w:tcPr>
          <w:p>
            <w:pPr>
              <w:spacing w:after="0"/>
              <w:rPr>
                <w:sz w:val="1"/>
                <w:szCs w:val="1"/>
                <w:color w:val="auto"/>
              </w:rPr>
            </w:pPr>
          </w:p>
        </w:tc>
      </w:tr>
      <w:tr>
        <w:trPr>
          <w:trHeight w:val="122"/>
        </w:trPr>
        <w:tc>
          <w:tcPr>
            <w:tcW w:w="1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6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Debt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Land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2"/>
              </w:rPr>
              <w:t>Costs</w:t>
            </w:r>
          </w:p>
        </w:tc>
        <w:tc>
          <w:tcPr>
            <w:tcW w:w="9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Currency</w:t>
            </w:r>
          </w:p>
        </w:tc>
        <w:tc>
          <w:tcPr>
            <w:tcW w:w="5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Land</w:t>
            </w: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80" w:type="dxa"/>
            <w:vAlign w:val="bottom"/>
            <w:gridSpan w:val="2"/>
            <w:vMerge w:val="continue"/>
          </w:tcPr>
          <w:p>
            <w:pPr>
              <w:spacing w:after="0"/>
              <w:rPr>
                <w:sz w:val="10"/>
                <w:szCs w:val="10"/>
                <w:color w:val="auto"/>
              </w:rPr>
            </w:pPr>
          </w:p>
        </w:tc>
        <w:tc>
          <w:tcPr>
            <w:tcW w:w="8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72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68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104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3"/>
                <w:szCs w:val="13"/>
                <w:b w:val="1"/>
                <w:bCs w:val="1"/>
                <w:color w:val="auto"/>
                <w:w w:val="93"/>
              </w:rPr>
              <w:t xml:space="preserve">Capitalized, net </w:t>
            </w:r>
            <w:r>
              <w:rPr>
                <w:rFonts w:ascii="MS PGothic" w:cs="MS PGothic" w:eastAsia="MS PGothic" w:hAnsi="MS PGothic"/>
                <w:sz w:val="16"/>
                <w:szCs w:val="16"/>
                <w:color w:val="auto"/>
                <w:w w:val="93"/>
                <w:vertAlign w:val="superscript"/>
              </w:rPr>
              <w:t>⁽</w:t>
            </w:r>
            <w:r>
              <w:rPr>
                <w:rFonts w:ascii="Times New Roman" w:cs="Times New Roman" w:eastAsia="Times New Roman" w:hAnsi="Times New Roman"/>
                <w:sz w:val="16"/>
                <w:szCs w:val="16"/>
                <w:b w:val="1"/>
                <w:bCs w:val="1"/>
                <w:color w:val="auto"/>
                <w:w w:val="93"/>
                <w:vertAlign w:val="superscript"/>
              </w:rPr>
              <w:t>¹</w:t>
            </w:r>
            <w:r>
              <w:rPr>
                <w:rFonts w:ascii="MS PGothic" w:cs="MS PGothic" w:eastAsia="MS PGothic" w:hAnsi="MS PGothic"/>
                <w:sz w:val="16"/>
                <w:szCs w:val="16"/>
                <w:color w:val="auto"/>
                <w:w w:val="93"/>
                <w:vertAlign w:val="superscript"/>
              </w:rPr>
              <w: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Adjustment</w:t>
            </w: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Improvements</w:t>
            </w:r>
          </w:p>
        </w:tc>
        <w:tc>
          <w:tcPr>
            <w:tcW w:w="620" w:type="dxa"/>
            <w:vAlign w:val="bottom"/>
            <w:gridSpan w:val="2"/>
            <w:vMerge w:val="continue"/>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Construction</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Acquired</w:t>
            </w:r>
          </w:p>
        </w:tc>
        <w:tc>
          <w:tcPr>
            <w:tcW w:w="7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Life</w:t>
            </w:r>
          </w:p>
        </w:tc>
        <w:tc>
          <w:tcPr>
            <w:tcW w:w="0" w:type="dxa"/>
            <w:vAlign w:val="bottom"/>
          </w:tcPr>
          <w:p>
            <w:pPr>
              <w:spacing w:after="0"/>
              <w:rPr>
                <w:sz w:val="1"/>
                <w:szCs w:val="1"/>
                <w:color w:val="auto"/>
              </w:rPr>
            </w:pPr>
          </w:p>
        </w:tc>
      </w:tr>
      <w:tr>
        <w:trPr>
          <w:trHeight w:val="124"/>
        </w:trPr>
        <w:tc>
          <w:tcPr>
            <w:tcW w:w="1600" w:type="dxa"/>
            <w:vAlign w:val="bottom"/>
            <w:tcBorders>
              <w:top w:val="single" w:sz="8" w:color="auto"/>
            </w:tcBorders>
            <w:shd w:val="clear" w:color="auto" w:fill="CFF0FC"/>
          </w:tcPr>
          <w:p>
            <w:pPr>
              <w:ind w:left="20"/>
              <w:spacing w:after="0" w:line="124" w:lineRule="exact"/>
              <w:rPr>
                <w:sz w:val="20"/>
                <w:szCs w:val="20"/>
                <w:color w:val="auto"/>
              </w:rPr>
            </w:pPr>
            <w:r>
              <w:rPr>
                <w:rFonts w:ascii="Times New Roman" w:cs="Times New Roman" w:eastAsia="Times New Roman" w:hAnsi="Times New Roman"/>
                <w:sz w:val="13"/>
                <w:szCs w:val="13"/>
                <w:color w:val="auto"/>
              </w:rPr>
              <w:t>Hyatt Regency Maui Resort</w:t>
            </w:r>
          </w:p>
        </w:tc>
        <w:tc>
          <w:tcPr>
            <w:tcW w:w="80" w:type="dxa"/>
            <w:vAlign w:val="bottom"/>
            <w:tcBorders>
              <w:top w:val="single" w:sz="8" w:color="CFF0FC"/>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and Spa</w:t>
            </w:r>
          </w:p>
        </w:tc>
        <w:tc>
          <w:tcPr>
            <w:tcW w:w="6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7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Hyatt Regency Reston</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Pr>
          <w:p>
            <w:pPr>
              <w:spacing w:after="0"/>
              <w:rPr>
                <w:sz w:val="14"/>
                <w:szCs w:val="14"/>
                <w:color w:val="auto"/>
              </w:rPr>
            </w:pP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6"/>
        </w:trPr>
        <w:tc>
          <w:tcPr>
            <w:tcW w:w="1680" w:type="dxa"/>
            <w:vAlign w:val="bottom"/>
            <w:gridSpan w:val="2"/>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Hyatt Regency San Francisco</w:t>
            </w: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Airport</w:t>
            </w:r>
          </w:p>
        </w:tc>
        <w:tc>
          <w:tcPr>
            <w:tcW w:w="6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0"/>
        </w:trPr>
        <w:tc>
          <w:tcPr>
            <w:tcW w:w="16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Hyatt Regency Washington on</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Capitol Hill</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tcPr>
          <w:p>
            <w:pPr>
              <w:spacing w:after="0"/>
              <w:rPr>
                <w:sz w:val="14"/>
                <w:szCs w:val="14"/>
                <w:color w:val="auto"/>
              </w:rPr>
            </w:pP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83"/>
        </w:trPr>
        <w:tc>
          <w:tcPr>
            <w:tcW w:w="1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JW Marriott Atlanta Buckhead</w:t>
            </w:r>
          </w:p>
        </w:tc>
        <w:tc>
          <w:tcPr>
            <w:tcW w:w="6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1990</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0"/>
        </w:trPr>
        <w:tc>
          <w:tcPr>
            <w:tcW w:w="16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JW Marriott Hotel Rio de</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Janeiro</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8"/>
        </w:trPr>
        <w:tc>
          <w:tcPr>
            <w:tcW w:w="1680" w:type="dxa"/>
            <w:vAlign w:val="bottom"/>
            <w:gridSpan w:val="2"/>
            <w:shd w:val="clear" w:color="auto" w:fill="CFF0FC"/>
          </w:tcPr>
          <w:p>
            <w:pPr>
              <w:ind w:left="20"/>
              <w:spacing w:after="0" w:line="138" w:lineRule="exact"/>
              <w:rPr>
                <w:sz w:val="20"/>
                <w:szCs w:val="20"/>
                <w:color w:val="auto"/>
              </w:rPr>
            </w:pPr>
            <w:r>
              <w:rPr>
                <w:rFonts w:ascii="Times New Roman" w:cs="Times New Roman" w:eastAsia="Times New Roman" w:hAnsi="Times New Roman"/>
                <w:sz w:val="13"/>
                <w:szCs w:val="13"/>
                <w:color w:val="auto"/>
              </w:rPr>
              <w:t>JW Marriott Houston by The</w:t>
            </w: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Galleria</w:t>
            </w:r>
          </w:p>
        </w:tc>
        <w:tc>
          <w:tcPr>
            <w:tcW w:w="6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1994</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7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JW Marriott Washington, DC</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4"/>
                <w:szCs w:val="14"/>
                <w:color w:val="auto"/>
              </w:rPr>
            </w:pP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6"/>
        </w:trPr>
        <w:tc>
          <w:tcPr>
            <w:tcW w:w="1680" w:type="dxa"/>
            <w:vAlign w:val="bottom"/>
            <w:gridSpan w:val="2"/>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Manchester Grand Hyatt San</w:t>
            </w: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Diego</w:t>
            </w:r>
          </w:p>
        </w:tc>
        <w:tc>
          <w:tcPr>
            <w:tcW w:w="6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7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Marina del Rey Marriott</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4"/>
                <w:szCs w:val="14"/>
                <w:color w:val="auto"/>
              </w:rPr>
            </w:pP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6"/>
        </w:trPr>
        <w:tc>
          <w:tcPr>
            <w:tcW w:w="1680" w:type="dxa"/>
            <w:vAlign w:val="bottom"/>
            <w:gridSpan w:val="2"/>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Marriott Downtown at CF</w:t>
            </w: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Toronto Eaton Centre</w:t>
            </w:r>
          </w:p>
        </w:tc>
        <w:tc>
          <w:tcPr>
            <w:tcW w:w="6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0"/>
        </w:trPr>
        <w:tc>
          <w:tcPr>
            <w:tcW w:w="16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Marriott Marquis San Diego</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Marina</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8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100" w:type="dxa"/>
            <w:vAlign w:val="bottom"/>
          </w:tcPr>
          <w:p>
            <w:pPr>
              <w:spacing w:after="0"/>
              <w:rPr>
                <w:sz w:val="14"/>
                <w:szCs w:val="14"/>
                <w:color w:val="auto"/>
              </w:rPr>
            </w:pP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1996</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83"/>
        </w:trPr>
        <w:tc>
          <w:tcPr>
            <w:tcW w:w="1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Miami Marriott Biscayne Bay</w:t>
            </w:r>
          </w:p>
        </w:tc>
        <w:tc>
          <w:tcPr>
            <w:tcW w:w="6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0"/>
        </w:trPr>
        <w:tc>
          <w:tcPr>
            <w:tcW w:w="16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Minneapolis Marriott City</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4"/>
                <w:szCs w:val="14"/>
                <w:color w:val="auto"/>
              </w:rPr>
            </w:pP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84"/>
        </w:trPr>
        <w:tc>
          <w:tcPr>
            <w:tcW w:w="1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Nashville Hotels</w:t>
            </w:r>
          </w:p>
        </w:tc>
        <w:tc>
          <w:tcPr>
            <w:tcW w:w="6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7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New Orleans Marriott</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8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tcPr>
          <w:p>
            <w:pPr>
              <w:spacing w:after="0"/>
              <w:rPr>
                <w:sz w:val="14"/>
                <w:szCs w:val="14"/>
                <w:color w:val="auto"/>
              </w:rPr>
            </w:pP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1996</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6"/>
        </w:trPr>
        <w:tc>
          <w:tcPr>
            <w:tcW w:w="1680" w:type="dxa"/>
            <w:vAlign w:val="bottom"/>
            <w:gridSpan w:val="2"/>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New York Marriott</w:t>
            </w: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Downtown</w:t>
            </w:r>
          </w:p>
        </w:tc>
        <w:tc>
          <w:tcPr>
            <w:tcW w:w="6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7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New York Marriott Marquis</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8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w:t>
            </w:r>
          </w:p>
        </w:tc>
        <w:tc>
          <w:tcPr>
            <w:tcW w:w="100" w:type="dxa"/>
            <w:vAlign w:val="bottom"/>
          </w:tcPr>
          <w:p>
            <w:pPr>
              <w:spacing w:after="0"/>
              <w:rPr>
                <w:sz w:val="14"/>
                <w:szCs w:val="14"/>
                <w:color w:val="auto"/>
              </w:rPr>
            </w:pP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1986</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6"/>
        </w:trPr>
        <w:tc>
          <w:tcPr>
            <w:tcW w:w="1680" w:type="dxa"/>
            <w:vAlign w:val="bottom"/>
            <w:gridSpan w:val="2"/>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Newark Liberty International</w:t>
            </w: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Airport Marriott</w:t>
            </w:r>
          </w:p>
        </w:tc>
        <w:tc>
          <w:tcPr>
            <w:tcW w:w="6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1984</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0"/>
        </w:trPr>
        <w:tc>
          <w:tcPr>
            <w:tcW w:w="16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Orlando World Center</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Marriott</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8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00" w:type="dxa"/>
            <w:vAlign w:val="bottom"/>
          </w:tcPr>
          <w:p>
            <w:pPr>
              <w:spacing w:after="0"/>
              <w:rPr>
                <w:sz w:val="14"/>
                <w:szCs w:val="14"/>
                <w:color w:val="auto"/>
              </w:rPr>
            </w:pP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84"/>
        </w:trPr>
        <w:tc>
          <w:tcPr>
            <w:tcW w:w="1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Philadelphia Airport Marriott</w:t>
            </w:r>
          </w:p>
        </w:tc>
        <w:tc>
          <w:tcPr>
            <w:tcW w:w="6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0"/>
        </w:trPr>
        <w:tc>
          <w:tcPr>
            <w:tcW w:w="16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Rio de Janeiro Parque</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Olimpico Hotels</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78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2014</w:t>
            </w:r>
          </w:p>
        </w:tc>
        <w:tc>
          <w:tcPr>
            <w:tcW w:w="80" w:type="dxa"/>
            <w:vAlign w:val="bottom"/>
          </w:tcPr>
          <w:p>
            <w:pPr>
              <w:spacing w:after="0"/>
              <w:rPr>
                <w:sz w:val="14"/>
                <w:szCs w:val="14"/>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38"/>
        </w:trPr>
        <w:tc>
          <w:tcPr>
            <w:tcW w:w="1680" w:type="dxa"/>
            <w:vAlign w:val="bottom"/>
            <w:gridSpan w:val="2"/>
            <w:shd w:val="clear" w:color="auto" w:fill="CFF0FC"/>
          </w:tcPr>
          <w:p>
            <w:pPr>
              <w:ind w:left="20"/>
              <w:spacing w:after="0" w:line="138" w:lineRule="exact"/>
              <w:rPr>
                <w:sz w:val="20"/>
                <w:szCs w:val="20"/>
                <w:color w:val="auto"/>
              </w:rPr>
            </w:pPr>
            <w:r>
              <w:rPr>
                <w:rFonts w:ascii="Times New Roman" w:cs="Times New Roman" w:eastAsia="Times New Roman" w:hAnsi="Times New Roman"/>
                <w:sz w:val="13"/>
                <w:szCs w:val="13"/>
                <w:color w:val="auto"/>
              </w:rPr>
              <w:t>San Antonio Marriott</w:t>
            </w: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1996</w:t>
            </w: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Rivercenter</w:t>
            </w:r>
          </w:p>
        </w:tc>
        <w:tc>
          <w:tcPr>
            <w:tcW w:w="6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0"/>
        </w:trPr>
        <w:tc>
          <w:tcPr>
            <w:tcW w:w="16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San Antonio Marriott</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Riverwalk</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4"/>
                <w:szCs w:val="14"/>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8"/>
        </w:trPr>
        <w:tc>
          <w:tcPr>
            <w:tcW w:w="1680" w:type="dxa"/>
            <w:vAlign w:val="bottom"/>
            <w:gridSpan w:val="2"/>
            <w:shd w:val="clear" w:color="auto" w:fill="CFF0FC"/>
          </w:tcPr>
          <w:p>
            <w:pPr>
              <w:ind w:left="20"/>
              <w:spacing w:after="0" w:line="138" w:lineRule="exact"/>
              <w:rPr>
                <w:sz w:val="20"/>
                <w:szCs w:val="20"/>
                <w:color w:val="auto"/>
              </w:rPr>
            </w:pPr>
            <w:r>
              <w:rPr>
                <w:rFonts w:ascii="Times New Roman" w:cs="Times New Roman" w:eastAsia="Times New Roman" w:hAnsi="Times New Roman"/>
                <w:sz w:val="13"/>
                <w:szCs w:val="13"/>
                <w:color w:val="auto"/>
              </w:rPr>
              <w:t>San Francisco Marriott</w:t>
            </w: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1994</w:t>
            </w: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Fisherman's Wharf</w:t>
            </w:r>
          </w:p>
        </w:tc>
        <w:tc>
          <w:tcPr>
            <w:tcW w:w="6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57"/>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San Francisco Marriott</w:t>
            </w:r>
          </w:p>
        </w:tc>
        <w:tc>
          <w:tcPr>
            <w:tcW w:w="6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80" w:type="dxa"/>
            <w:vAlign w:val="bottom"/>
          </w:tcPr>
          <w:p>
            <w:pPr>
              <w:spacing w:after="0"/>
              <w:rPr>
                <w:sz w:val="13"/>
                <w:szCs w:val="13"/>
                <w:color w:val="auto"/>
              </w:rPr>
            </w:pPr>
          </w:p>
        </w:tc>
        <w:tc>
          <w:tcPr>
            <w:tcW w:w="9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00" w:type="dxa"/>
            <w:vAlign w:val="bottom"/>
          </w:tcPr>
          <w:p>
            <w:pPr>
              <w:spacing w:after="0"/>
              <w:rPr>
                <w:sz w:val="13"/>
                <w:szCs w:val="13"/>
                <w:color w:val="auto"/>
              </w:rPr>
            </w:pPr>
          </w:p>
        </w:tc>
        <w:tc>
          <w:tcPr>
            <w:tcW w:w="8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1989</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Marquis</w:t>
            </w:r>
          </w:p>
        </w:tc>
        <w:tc>
          <w:tcPr>
            <w:tcW w:w="60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211"/>
        </w:trPr>
        <w:tc>
          <w:tcPr>
            <w:tcW w:w="1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Santa Clara Marriott</w:t>
            </w:r>
          </w:p>
        </w:tc>
        <w:tc>
          <w:tcPr>
            <w:tcW w:w="6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1989</w:t>
            </w: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86"/>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Sheraton Parsippany Hotel</w:t>
            </w: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6"/>
                <w:szCs w:val="16"/>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6"/>
                <w:szCs w:val="16"/>
                <w:color w:val="auto"/>
              </w:rPr>
            </w:pP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3018790</wp:posOffset>
            </wp:positionH>
            <wp:positionV relativeFrom="paragraph">
              <wp:posOffset>-4740910</wp:posOffset>
            </wp:positionV>
            <wp:extent cx="59055" cy="533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59055" cy="53340"/>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3 of 5</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HOST HOTELS &amp; RESORTS,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REAL ESTATE AND ACCUMULATED DEPRECIATION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Initial Cost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Gross Amount at December 31, 2025</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Buildings &amp;</w:t>
            </w:r>
          </w:p>
        </w:tc>
        <w:tc>
          <w:tcPr>
            <w:tcW w:w="140" w:type="dxa"/>
            <w:vAlign w:val="bottom"/>
          </w:tcPr>
          <w:p>
            <w:pPr>
              <w:spacing w:after="0"/>
              <w:rPr>
                <w:sz w:val="9"/>
                <w:szCs w:val="9"/>
                <w:color w:val="auto"/>
              </w:rPr>
            </w:pPr>
          </w:p>
        </w:tc>
        <w:tc>
          <w:tcPr>
            <w:tcW w:w="96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3"/>
                <w:szCs w:val="13"/>
                <w:b w:val="1"/>
                <w:bCs w:val="1"/>
                <w:color w:val="auto"/>
                <w:w w:val="96"/>
              </w:rPr>
              <w:t>Subsequent</w:t>
            </w:r>
          </w:p>
        </w:tc>
        <w:tc>
          <w:tcPr>
            <w:tcW w:w="100" w:type="dxa"/>
            <w:vAlign w:val="bottom"/>
          </w:tcPr>
          <w:p>
            <w:pPr>
              <w:spacing w:after="0"/>
              <w:rPr>
                <w:sz w:val="9"/>
                <w:szCs w:val="9"/>
                <w:color w:val="auto"/>
              </w:rPr>
            </w:pPr>
          </w:p>
        </w:tc>
        <w:tc>
          <w:tcPr>
            <w:tcW w:w="78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3"/>
                <w:szCs w:val="13"/>
                <w:b w:val="1"/>
                <w:bCs w:val="1"/>
                <w:color w:val="auto"/>
                <w:w w:val="92"/>
              </w:rPr>
              <w:t>Foreign</w:t>
            </w: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Buildings &amp;</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9"/>
                <w:szCs w:val="9"/>
                <w:color w:val="auto"/>
              </w:rPr>
            </w:pPr>
          </w:p>
        </w:tc>
        <w:tc>
          <w:tcPr>
            <w:tcW w:w="92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w w:val="99"/>
              </w:rPr>
              <w:t>Date of</w:t>
            </w: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0" w:type="dxa"/>
            <w:vAlign w:val="bottom"/>
          </w:tcPr>
          <w:p>
            <w:pPr>
              <w:spacing w:after="0"/>
              <w:rPr>
                <w:sz w:val="1"/>
                <w:szCs w:val="1"/>
                <w:color w:val="auto"/>
              </w:rPr>
            </w:pPr>
          </w:p>
        </w:tc>
      </w:tr>
      <w:tr>
        <w:trPr>
          <w:trHeight w:val="128"/>
        </w:trPr>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2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20" w:type="dxa"/>
            <w:vAlign w:val="bottom"/>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Land</w:t>
            </w: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Costs</w:t>
            </w: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Currency</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Land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Completion of</w:t>
            </w:r>
          </w:p>
        </w:tc>
        <w:tc>
          <w:tcPr>
            <w:tcW w:w="72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Improvements</w:t>
            </w:r>
          </w:p>
        </w:tc>
        <w:tc>
          <w:tcPr>
            <w:tcW w:w="1100" w:type="dxa"/>
            <w:vAlign w:val="bottom"/>
            <w:gridSpan w:val="3"/>
          </w:tcPr>
          <w:p>
            <w:pPr>
              <w:jc w:val="center"/>
              <w:ind w:right="60"/>
              <w:spacing w:after="0" w:line="175" w:lineRule="exact"/>
              <w:rPr>
                <w:sz w:val="20"/>
                <w:szCs w:val="20"/>
                <w:color w:val="auto"/>
              </w:rPr>
            </w:pPr>
            <w:r>
              <w:rPr>
                <w:rFonts w:ascii="Times New Roman" w:cs="Times New Roman" w:eastAsia="Times New Roman" w:hAnsi="Times New Roman"/>
                <w:sz w:val="13"/>
                <w:szCs w:val="13"/>
                <w:b w:val="1"/>
                <w:bCs w:val="1"/>
                <w:color w:val="auto"/>
                <w:w w:val="93"/>
              </w:rPr>
              <w:t xml:space="preserve">Capitalized, net </w:t>
            </w:r>
            <w:r>
              <w:rPr>
                <w:rFonts w:ascii="MS PGothic" w:cs="MS PGothic" w:eastAsia="MS PGothic" w:hAnsi="MS PGothic"/>
                <w:sz w:val="16"/>
                <w:szCs w:val="16"/>
                <w:color w:val="auto"/>
                <w:w w:val="93"/>
                <w:vertAlign w:val="superscript"/>
              </w:rPr>
              <w:t>⁽</w:t>
            </w:r>
            <w:r>
              <w:rPr>
                <w:rFonts w:ascii="Times New Roman" w:cs="Times New Roman" w:eastAsia="Times New Roman" w:hAnsi="Times New Roman"/>
                <w:sz w:val="16"/>
                <w:szCs w:val="16"/>
                <w:b w:val="1"/>
                <w:bCs w:val="1"/>
                <w:color w:val="auto"/>
                <w:w w:val="93"/>
                <w:vertAlign w:val="superscript"/>
              </w:rPr>
              <w:t>¹</w:t>
            </w:r>
            <w:r>
              <w:rPr>
                <w:rFonts w:ascii="MS PGothic" w:cs="MS PGothic" w:eastAsia="MS PGothic" w:hAnsi="MS PGothic"/>
                <w:sz w:val="16"/>
                <w:szCs w:val="16"/>
                <w:color w:val="auto"/>
                <w:w w:val="93"/>
                <w:vertAlign w:val="superscript"/>
              </w:rPr>
              <w:t>⁾</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Adjustment</w:t>
            </w:r>
          </w:p>
        </w:tc>
        <w:tc>
          <w:tcPr>
            <w:tcW w:w="4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600" w:type="dxa"/>
            <w:vAlign w:val="bottom"/>
            <w:gridSpan w:val="2"/>
            <w:vMerge w:val="continue"/>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80" w:type="dxa"/>
            <w:vAlign w:val="bottom"/>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Construction</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Acquired</w:t>
            </w:r>
          </w:p>
        </w:tc>
        <w:tc>
          <w:tcPr>
            <w:tcW w:w="80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Life</w:t>
            </w:r>
          </w:p>
        </w:tc>
        <w:tc>
          <w:tcPr>
            <w:tcW w:w="0" w:type="dxa"/>
            <w:vAlign w:val="bottom"/>
          </w:tcPr>
          <w:p>
            <w:pPr>
              <w:spacing w:after="0"/>
              <w:rPr>
                <w:sz w:val="1"/>
                <w:szCs w:val="1"/>
                <w:color w:val="auto"/>
              </w:rPr>
            </w:pPr>
          </w:p>
        </w:tc>
      </w:tr>
      <w:tr>
        <w:trPr>
          <w:trHeight w:val="169"/>
        </w:trPr>
        <w:tc>
          <w:tcPr>
            <w:tcW w:w="14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Swissôtel Chicago</w:t>
            </w: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center"/>
              <w:ind w:left="3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FF0FC"/>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80" w:type="dxa"/>
            <w:vAlign w:val="bottom"/>
            <w:tcBorders>
              <w:top w:val="single" w:sz="8" w:color="CFF0FC"/>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80" w:type="dxa"/>
            <w:vAlign w:val="bottom"/>
            <w:tcBorders>
              <w:top w:val="single" w:sz="8" w:color="CFF0FC"/>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80" w:type="dxa"/>
            <w:vAlign w:val="bottom"/>
            <w:tcBorders>
              <w:top w:val="single" w:sz="8" w:color="CFF0FC"/>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FF0FC"/>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tcBorders>
              <w:top w:val="single" w:sz="8" w:color="CFF0FC"/>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70"/>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Tampa Airport Marriott</w:t>
            </w:r>
          </w:p>
        </w:tc>
        <w:tc>
          <w:tcPr>
            <w:tcW w:w="120" w:type="dxa"/>
            <w:vAlign w:val="bottom"/>
          </w:tcPr>
          <w:p>
            <w:pPr>
              <w:spacing w:after="0"/>
              <w:rPr>
                <w:sz w:val="14"/>
                <w:szCs w:val="14"/>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left="29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1971</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6"/>
        </w:trPr>
        <w:tc>
          <w:tcPr>
            <w:tcW w:w="1560" w:type="dxa"/>
            <w:vAlign w:val="bottom"/>
            <w:gridSpan w:val="2"/>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The Alida, Savannah, a</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Tribute Portfolio Hotel</w:t>
            </w:r>
          </w:p>
        </w:tc>
        <w:tc>
          <w:tcPr>
            <w:tcW w:w="1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center"/>
              <w:ind w:left="29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70"/>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The Don CeSar</w:t>
            </w:r>
          </w:p>
        </w:tc>
        <w:tc>
          <w:tcPr>
            <w:tcW w:w="120" w:type="dxa"/>
            <w:vAlign w:val="bottom"/>
          </w:tcPr>
          <w:p>
            <w:pPr>
              <w:spacing w:after="0"/>
              <w:rPr>
                <w:sz w:val="14"/>
                <w:szCs w:val="14"/>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left="29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81"/>
        </w:trPr>
        <w:tc>
          <w:tcPr>
            <w:tcW w:w="1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The Laura Hotel</w:t>
            </w:r>
          </w:p>
        </w:tc>
        <w:tc>
          <w:tcPr>
            <w:tcW w:w="1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center"/>
              <w:ind w:left="29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70"/>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The Logan</w:t>
            </w:r>
          </w:p>
        </w:tc>
        <w:tc>
          <w:tcPr>
            <w:tcW w:w="120" w:type="dxa"/>
            <w:vAlign w:val="bottom"/>
          </w:tcPr>
          <w:p>
            <w:pPr>
              <w:spacing w:after="0"/>
              <w:rPr>
                <w:sz w:val="14"/>
                <w:szCs w:val="14"/>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left="29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6"/>
        </w:trPr>
        <w:tc>
          <w:tcPr>
            <w:tcW w:w="1560" w:type="dxa"/>
            <w:vAlign w:val="bottom"/>
            <w:gridSpan w:val="2"/>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The Phoenician, A Luxury</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Collection Resort</w:t>
            </w:r>
          </w:p>
        </w:tc>
        <w:tc>
          <w:tcPr>
            <w:tcW w:w="1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center"/>
              <w:ind w:left="29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30"/>
        </w:trPr>
        <w:tc>
          <w:tcPr>
            <w:tcW w:w="15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The Ritz-Carlton Naples,</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Tiburón</w:t>
            </w:r>
          </w:p>
        </w:tc>
        <w:tc>
          <w:tcPr>
            <w:tcW w:w="120" w:type="dxa"/>
            <w:vAlign w:val="bottom"/>
          </w:tcPr>
          <w:p>
            <w:pPr>
              <w:spacing w:after="0"/>
              <w:rPr>
                <w:sz w:val="14"/>
                <w:szCs w:val="14"/>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left="29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8"/>
        </w:trPr>
        <w:tc>
          <w:tcPr>
            <w:tcW w:w="1560" w:type="dxa"/>
            <w:vAlign w:val="bottom"/>
            <w:gridSpan w:val="2"/>
            <w:shd w:val="clear" w:color="auto" w:fill="CFF0FC"/>
          </w:tcPr>
          <w:p>
            <w:pPr>
              <w:ind w:left="20"/>
              <w:spacing w:after="0" w:line="138" w:lineRule="exact"/>
              <w:rPr>
                <w:sz w:val="20"/>
                <w:szCs w:val="20"/>
                <w:color w:val="auto"/>
              </w:rPr>
            </w:pPr>
            <w:r>
              <w:rPr>
                <w:rFonts w:ascii="Times New Roman" w:cs="Times New Roman" w:eastAsia="Times New Roman" w:hAnsi="Times New Roman"/>
                <w:sz w:val="13"/>
                <w:szCs w:val="13"/>
                <w:color w:val="auto"/>
              </w:rPr>
              <w:t>The Ritz-Carlton O'ahu,</w:t>
            </w: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Turtle Bay</w:t>
            </w:r>
          </w:p>
        </w:tc>
        <w:tc>
          <w:tcPr>
            <w:tcW w:w="1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center"/>
              <w:ind w:left="29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30"/>
        </w:trPr>
        <w:tc>
          <w:tcPr>
            <w:tcW w:w="15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The Ritz-Carlton, Amelia</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Island</w:t>
            </w:r>
          </w:p>
        </w:tc>
        <w:tc>
          <w:tcPr>
            <w:tcW w:w="120" w:type="dxa"/>
            <w:vAlign w:val="bottom"/>
          </w:tcPr>
          <w:p>
            <w:pPr>
              <w:spacing w:after="0"/>
              <w:rPr>
                <w:sz w:val="14"/>
                <w:szCs w:val="14"/>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left="29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8"/>
        </w:trPr>
        <w:tc>
          <w:tcPr>
            <w:tcW w:w="1560" w:type="dxa"/>
            <w:vAlign w:val="bottom"/>
            <w:gridSpan w:val="2"/>
            <w:shd w:val="clear" w:color="auto" w:fill="CFF0FC"/>
          </w:tcPr>
          <w:p>
            <w:pPr>
              <w:ind w:left="20"/>
              <w:spacing w:after="0" w:line="138" w:lineRule="exact"/>
              <w:rPr>
                <w:sz w:val="20"/>
                <w:szCs w:val="20"/>
                <w:color w:val="auto"/>
              </w:rPr>
            </w:pPr>
            <w:r>
              <w:rPr>
                <w:rFonts w:ascii="Times New Roman" w:cs="Times New Roman" w:eastAsia="Times New Roman" w:hAnsi="Times New Roman"/>
                <w:sz w:val="13"/>
                <w:szCs w:val="13"/>
                <w:color w:val="auto"/>
              </w:rPr>
              <w:t>The Ritz-Carlton, Marina</w:t>
            </w: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del Rey</w:t>
            </w:r>
          </w:p>
        </w:tc>
        <w:tc>
          <w:tcPr>
            <w:tcW w:w="1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center"/>
              <w:ind w:left="29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70"/>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The Ritz-Carlton, Naples</w:t>
            </w:r>
          </w:p>
        </w:tc>
        <w:tc>
          <w:tcPr>
            <w:tcW w:w="120" w:type="dxa"/>
            <w:vAlign w:val="bottom"/>
          </w:tcPr>
          <w:p>
            <w:pPr>
              <w:spacing w:after="0"/>
              <w:rPr>
                <w:sz w:val="14"/>
                <w:szCs w:val="14"/>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left="29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1996</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6"/>
        </w:trPr>
        <w:tc>
          <w:tcPr>
            <w:tcW w:w="1560" w:type="dxa"/>
            <w:vAlign w:val="bottom"/>
            <w:gridSpan w:val="2"/>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The Ritz-Carlton, Tysons</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Corner</w:t>
            </w:r>
          </w:p>
        </w:tc>
        <w:tc>
          <w:tcPr>
            <w:tcW w:w="1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center"/>
              <w:ind w:left="29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0"/>
        </w:trPr>
        <w:tc>
          <w:tcPr>
            <w:tcW w:w="15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The Singer Oceanfront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Resort, Curio Collection by</w:t>
            </w:r>
          </w:p>
        </w:tc>
        <w:tc>
          <w:tcPr>
            <w:tcW w:w="120" w:type="dxa"/>
            <w:vAlign w:val="bottom"/>
          </w:tcPr>
          <w:p>
            <w:pPr>
              <w:spacing w:after="0"/>
              <w:rPr>
                <w:sz w:val="10"/>
                <w:szCs w:val="10"/>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center"/>
              <w:ind w:left="29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1994</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70"/>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Hilton</w:t>
            </w:r>
          </w:p>
        </w:tc>
        <w:tc>
          <w:tcPr>
            <w:tcW w:w="1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560" w:type="dxa"/>
            <w:vAlign w:val="bottom"/>
            <w:gridSpan w:val="2"/>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The Westin Chicago River</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North</w:t>
            </w:r>
          </w:p>
        </w:tc>
        <w:tc>
          <w:tcPr>
            <w:tcW w:w="1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center"/>
              <w:ind w:left="29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0"/>
        </w:trPr>
        <w:tc>
          <w:tcPr>
            <w:tcW w:w="15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The Westin Denver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Downtown</w:t>
            </w:r>
          </w:p>
        </w:tc>
        <w:tc>
          <w:tcPr>
            <w:tcW w:w="120" w:type="dxa"/>
            <w:vAlign w:val="bottom"/>
          </w:tcPr>
          <w:p>
            <w:pPr>
              <w:spacing w:after="0"/>
              <w:rPr>
                <w:sz w:val="14"/>
                <w:szCs w:val="14"/>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left="29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8"/>
        </w:trPr>
        <w:tc>
          <w:tcPr>
            <w:tcW w:w="1560" w:type="dxa"/>
            <w:vAlign w:val="bottom"/>
            <w:gridSpan w:val="2"/>
            <w:shd w:val="clear" w:color="auto" w:fill="CFF0FC"/>
          </w:tcPr>
          <w:p>
            <w:pPr>
              <w:ind w:left="20"/>
              <w:spacing w:after="0" w:line="138" w:lineRule="exact"/>
              <w:rPr>
                <w:sz w:val="20"/>
                <w:szCs w:val="20"/>
                <w:color w:val="auto"/>
              </w:rPr>
            </w:pPr>
            <w:r>
              <w:rPr>
                <w:rFonts w:ascii="Times New Roman" w:cs="Times New Roman" w:eastAsia="Times New Roman" w:hAnsi="Times New Roman"/>
                <w:sz w:val="13"/>
                <w:szCs w:val="13"/>
                <w:color w:val="auto"/>
              </w:rPr>
              <w:t>The Westin Georgetown,</w:t>
            </w: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Washington D.C.</w:t>
            </w:r>
          </w:p>
        </w:tc>
        <w:tc>
          <w:tcPr>
            <w:tcW w:w="1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center"/>
              <w:ind w:left="29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0"/>
        </w:trPr>
        <w:tc>
          <w:tcPr>
            <w:tcW w:w="15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The Westin Kierland Resort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&amp; Spa</w:t>
            </w:r>
          </w:p>
        </w:tc>
        <w:tc>
          <w:tcPr>
            <w:tcW w:w="120" w:type="dxa"/>
            <w:vAlign w:val="bottom"/>
          </w:tcPr>
          <w:p>
            <w:pPr>
              <w:spacing w:after="0"/>
              <w:rPr>
                <w:sz w:val="14"/>
                <w:szCs w:val="14"/>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left="29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84"/>
        </w:trPr>
        <w:tc>
          <w:tcPr>
            <w:tcW w:w="1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The Westin Seattle</w:t>
            </w:r>
          </w:p>
        </w:tc>
        <w:tc>
          <w:tcPr>
            <w:tcW w:w="1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center"/>
              <w:ind w:left="29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0"/>
        </w:trPr>
        <w:tc>
          <w:tcPr>
            <w:tcW w:w="15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The Westin South Coast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Plaza, Costa Mesa</w:t>
            </w:r>
          </w:p>
        </w:tc>
        <w:tc>
          <w:tcPr>
            <w:tcW w:w="120" w:type="dxa"/>
            <w:vAlign w:val="bottom"/>
          </w:tcPr>
          <w:p>
            <w:pPr>
              <w:spacing w:after="0"/>
              <w:rPr>
                <w:sz w:val="14"/>
                <w:szCs w:val="14"/>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left="29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8"/>
        </w:trPr>
        <w:tc>
          <w:tcPr>
            <w:tcW w:w="1560" w:type="dxa"/>
            <w:vAlign w:val="bottom"/>
            <w:gridSpan w:val="2"/>
            <w:shd w:val="clear" w:color="auto" w:fill="CFF0FC"/>
          </w:tcPr>
          <w:p>
            <w:pPr>
              <w:ind w:left="20"/>
              <w:spacing w:after="0" w:line="138" w:lineRule="exact"/>
              <w:rPr>
                <w:sz w:val="20"/>
                <w:szCs w:val="20"/>
                <w:color w:val="auto"/>
              </w:rPr>
            </w:pPr>
            <w:r>
              <w:rPr>
                <w:rFonts w:ascii="Times New Roman" w:cs="Times New Roman" w:eastAsia="Times New Roman" w:hAnsi="Times New Roman"/>
                <w:sz w:val="13"/>
                <w:szCs w:val="13"/>
                <w:color w:val="auto"/>
              </w:rPr>
              <w:t>The Westin Waltham</w:t>
            </w: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Boston</w:t>
            </w:r>
          </w:p>
        </w:tc>
        <w:tc>
          <w:tcPr>
            <w:tcW w:w="1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center"/>
              <w:ind w:left="29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96"/>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 Seattle</w:t>
            </w:r>
          </w:p>
        </w:tc>
        <w:tc>
          <w:tcPr>
            <w:tcW w:w="120" w:type="dxa"/>
            <w:vAlign w:val="bottom"/>
          </w:tcPr>
          <w:p>
            <w:pPr>
              <w:spacing w:after="0"/>
              <w:rPr>
                <w:sz w:val="17"/>
                <w:szCs w:val="17"/>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left="29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89"/>
        </w:trPr>
        <w:tc>
          <w:tcPr>
            <w:tcW w:w="1560" w:type="dxa"/>
            <w:vAlign w:val="bottom"/>
            <w:tcBorders>
              <w:top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hotels:</w:t>
            </w:r>
          </w:p>
        </w:tc>
        <w:tc>
          <w:tcPr>
            <w:tcW w:w="12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2,364</w:t>
            </w: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10,059</w:t>
            </w:r>
          </w:p>
        </w:tc>
        <w:tc>
          <w:tcPr>
            <w:tcW w:w="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5,740</w:t>
            </w: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jc w:val="center"/>
              <w:ind w:left="357"/>
              <w:spacing w:after="0"/>
              <w:rPr>
                <w:sz w:val="20"/>
                <w:szCs w:val="20"/>
                <w:color w:val="auto"/>
              </w:rPr>
            </w:pPr>
            <w:r>
              <w:rPr>
                <w:rFonts w:ascii="Times New Roman" w:cs="Times New Roman" w:eastAsia="Times New Roman" w:hAnsi="Times New Roman"/>
                <w:sz w:val="13"/>
                <w:szCs w:val="13"/>
                <w:color w:val="auto"/>
                <w:w w:val="92"/>
              </w:rPr>
              <w:t>(79)</w:t>
            </w:r>
          </w:p>
        </w:tc>
        <w:tc>
          <w:tcPr>
            <w:tcW w:w="80" w:type="dxa"/>
            <w:vAlign w:val="bottom"/>
            <w:tcBorders>
              <w:top w:val="single" w:sz="8" w:color="CFF0FC"/>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2,352</w:t>
            </w:r>
          </w:p>
        </w:tc>
        <w:tc>
          <w:tcPr>
            <w:tcW w:w="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15,732</w:t>
            </w:r>
          </w:p>
        </w:tc>
        <w:tc>
          <w:tcPr>
            <w:tcW w:w="8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18,084</w:t>
            </w:r>
          </w:p>
        </w:tc>
        <w:tc>
          <w:tcPr>
            <w:tcW w:w="80" w:type="dxa"/>
            <w:vAlign w:val="bottom"/>
            <w:tcBorders>
              <w:top w:val="single" w:sz="8" w:color="CFF0FC"/>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8,451</w:t>
            </w:r>
          </w:p>
        </w:tc>
        <w:tc>
          <w:tcPr>
            <w:tcW w:w="80" w:type="dxa"/>
            <w:vAlign w:val="bottom"/>
            <w:tcBorders>
              <w:top w:val="single" w:sz="8" w:color="CFF0FC"/>
            </w:tcBorders>
            <w:shd w:val="clear" w:color="auto" w:fill="CFF0FC"/>
          </w:tcPr>
          <w:p>
            <w:pPr>
              <w:spacing w:after="0"/>
              <w:rPr>
                <w:sz w:val="16"/>
                <w:szCs w:val="16"/>
                <w:color w:val="auto"/>
              </w:rPr>
            </w:pPr>
          </w:p>
        </w:tc>
        <w:tc>
          <w:tcPr>
            <w:tcW w:w="8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6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8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5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Other properties, each less</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than 5% of total</w:t>
            </w:r>
          </w:p>
        </w:tc>
        <w:tc>
          <w:tcPr>
            <w:tcW w:w="120" w:type="dxa"/>
            <w:vAlign w:val="bottom"/>
          </w:tcPr>
          <w:p>
            <w:pPr>
              <w:spacing w:after="0"/>
              <w:rPr>
                <w:sz w:val="15"/>
                <w:szCs w:val="15"/>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left="29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200"/>
        </w:trPr>
        <w:tc>
          <w:tcPr>
            <w:tcW w:w="1560" w:type="dxa"/>
            <w:vAlign w:val="bottom"/>
            <w:tcBorders>
              <w:top w:val="single" w:sz="8" w:color="CFF0FC"/>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2,443</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10,060</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5,752</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FF0FC"/>
          </w:tcPr>
          <w:p>
            <w:pPr>
              <w:jc w:val="center"/>
              <w:ind w:left="357"/>
              <w:spacing w:after="0"/>
              <w:rPr>
                <w:sz w:val="20"/>
                <w:szCs w:val="20"/>
                <w:color w:val="auto"/>
              </w:rPr>
            </w:pPr>
            <w:r>
              <w:rPr>
                <w:rFonts w:ascii="Times New Roman" w:cs="Times New Roman" w:eastAsia="Times New Roman" w:hAnsi="Times New Roman"/>
                <w:sz w:val="13"/>
                <w:szCs w:val="13"/>
                <w:color w:val="auto"/>
                <w:w w:val="92"/>
              </w:rPr>
              <w:t>(79)</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7"/>
              </w:rPr>
              <w:t>$ 2,431</w:t>
            </w: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15,745</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6"/>
              </w:rPr>
              <w:t>$ 18,176</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8,455</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8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6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8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7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3040380</wp:posOffset>
            </wp:positionH>
            <wp:positionV relativeFrom="paragraph">
              <wp:posOffset>-4347845</wp:posOffset>
            </wp:positionV>
            <wp:extent cx="59055" cy="533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59055" cy="5334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w:t>
      </w:r>
    </w:p>
    <w:p>
      <w:pPr>
        <w:spacing w:after="0" w:line="117" w:lineRule="exact"/>
        <w:rPr>
          <w:sz w:val="20"/>
          <w:szCs w:val="20"/>
          <w:color w:val="auto"/>
        </w:rPr>
      </w:pPr>
    </w:p>
    <w:p>
      <w:pPr>
        <w:ind w:left="320" w:hanging="312"/>
        <w:spacing w:after="0"/>
        <w:tabs>
          <w:tab w:leader="none" w:pos="320" w:val="left"/>
        </w:tabs>
        <w:numPr>
          <w:ilvl w:val="0"/>
          <w:numId w:val="8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Subsequent costs capitalized are net of impairment expense.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4 of 5</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REAL ESTATE AND ACCUMULATED DEPRECIATION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change in total cost of properties for the fiscal years ended December 31, 2025, 2024 and 2023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2"/>
                <w:szCs w:val="2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15,869</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 and transfers from construction-in-progress</w:t>
            </w: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Deductions:</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Dispositions and other</w:t>
            </w:r>
          </w:p>
        </w:tc>
        <w:tc>
          <w:tcPr>
            <w:tcW w:w="4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16,234</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 and transfers from construction-in-progress</w:t>
            </w: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Deductions:</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Dispositions and other</w:t>
            </w:r>
          </w:p>
        </w:tc>
        <w:tc>
          <w:tcPr>
            <w:tcW w:w="4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17,961</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 and transfers from construction-in-progress</w:t>
            </w: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Deductions:</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Dispositions and other</w:t>
            </w:r>
          </w:p>
        </w:tc>
        <w:tc>
          <w:tcPr>
            <w:tcW w:w="4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Impairments</w:t>
            </w:r>
          </w:p>
        </w:tc>
        <w:tc>
          <w:tcPr>
            <w:tcW w:w="4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2"/>
                <w:szCs w:val="22"/>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18,176</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64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S-4</w:t>
            </w: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1120" w:type="dxa"/>
            <w:vAlign w:val="bottom"/>
          </w:tcPr>
          <w:p>
            <w:pPr>
              <w:spacing w:after="0"/>
              <w:rPr>
                <w:sz w:val="24"/>
                <w:szCs w:val="24"/>
                <w:color w:val="auto"/>
              </w:rPr>
            </w:pPr>
          </w:p>
        </w:tc>
        <w:tc>
          <w:tcPr>
            <w:tcW w:w="76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7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5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right="480" w:hanging="332"/>
        <w:spacing w:after="0" w:line="282" w:lineRule="auto"/>
        <w:tabs>
          <w:tab w:leader="none" w:pos="33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accumulated depreciation and amortization of real estate assets for the fiscal years ended December 31, 2025, 2024 and 2023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131445</wp:posOffset>
            </wp:positionV>
            <wp:extent cx="5751830" cy="163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5751830" cy="1631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Balance, December 31, 2022</w:t>
      </w:r>
    </w:p>
    <w:p>
      <w:pPr>
        <w:spacing w:after="0" w:line="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33020</wp:posOffset>
            </wp:positionV>
            <wp:extent cx="5751830" cy="1631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5751830" cy="163195"/>
                    </a:xfrm>
                    <a:prstGeom prst="rect">
                      <a:avLst/>
                    </a:prstGeom>
                    <a:noFill/>
                  </pic:spPr>
                </pic:pic>
              </a:graphicData>
            </a:graphic>
          </wp:anchor>
        </w:drawing>
      </w:r>
    </w:p>
    <w:p>
      <w:pPr>
        <w:spacing w:after="0" w:line="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Dispositions and other</w:t>
      </w:r>
    </w:p>
    <w:p>
      <w:pPr>
        <w:spacing w:after="0" w:line="6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Balance,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26035</wp:posOffset>
            </wp:positionV>
            <wp:extent cx="5751830" cy="163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5751830" cy="163195"/>
                    </a:xfrm>
                    <a:prstGeom prst="rect">
                      <a:avLst/>
                    </a:prstGeom>
                    <a:noFill/>
                  </pic:spPr>
                </pic:pic>
              </a:graphicData>
            </a:graphic>
          </wp:anchor>
        </w:drawing>
      </w:r>
    </w:p>
    <w:p>
      <w:pPr>
        <w:spacing w:after="0" w:line="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Depreciation and amortization</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Dispositions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26035</wp:posOffset>
            </wp:positionV>
            <wp:extent cx="575183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5751830" cy="171450"/>
                    </a:xfrm>
                    <a:prstGeom prst="rect">
                      <a:avLst/>
                    </a:prstGeom>
                    <a:noFill/>
                  </pic:spPr>
                </pic:pic>
              </a:graphicData>
            </a:graphic>
          </wp:anchor>
        </w:drawing>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Balance, December 31, 2024</w:t>
      </w:r>
    </w:p>
    <w:p>
      <w:pPr>
        <w:spacing w:after="0" w:line="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33020</wp:posOffset>
            </wp:positionV>
            <wp:extent cx="5751830" cy="163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5751830" cy="163195"/>
                    </a:xfrm>
                    <a:prstGeom prst="rect">
                      <a:avLst/>
                    </a:prstGeom>
                    <a:noFill/>
                  </pic:spPr>
                </pic:pic>
              </a:graphicData>
            </a:graphic>
          </wp:anchor>
        </w:drawing>
      </w:r>
    </w:p>
    <w:p>
      <w:pPr>
        <w:spacing w:after="0" w:line="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Dispositions and other</w:t>
      </w:r>
    </w:p>
    <w:p>
      <w:pPr>
        <w:spacing w:after="0" w:line="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26035</wp:posOffset>
            </wp:positionV>
            <wp:extent cx="5751830"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5751830" cy="188595"/>
                    </a:xfrm>
                    <a:prstGeom prst="rect">
                      <a:avLst/>
                    </a:prstGeom>
                    <a:noFill/>
                  </pic:spPr>
                </pic:pic>
              </a:graphicData>
            </a:graphic>
          </wp:anchor>
        </w:drawing>
      </w:r>
    </w:p>
    <w:p>
      <w:pPr>
        <w:spacing w:after="0" w:line="7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Balance, December 31, 2025</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900" w:hanging="899"/>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6,876</w:t>
      </w:r>
    </w:p>
    <w:p>
      <w:pPr>
        <w:spacing w:after="0" w:line="49"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573</w:t>
      </w:r>
    </w:p>
    <w:p>
      <w:pPr>
        <w:spacing w:after="0" w:line="50" w:lineRule="exact"/>
        <w:rPr>
          <w:sz w:val="20"/>
          <w:szCs w:val="20"/>
          <w:color w:val="auto"/>
        </w:rPr>
      </w:pPr>
    </w:p>
    <w:p>
      <w:pPr>
        <w:jc w:val="right"/>
        <w:ind w:right="112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88265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7,347</w:t>
      </w:r>
    </w:p>
    <w:p>
      <w:pPr>
        <w:spacing w:after="0" w:line="5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619</w:t>
      </w:r>
    </w:p>
    <w:p>
      <w:pPr>
        <w:spacing w:after="0" w:line="5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(25)</w:t>
      </w:r>
    </w:p>
    <w:p>
      <w:pPr>
        <w:spacing w:after="0" w:line="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7,941</w:t>
      </w:r>
    </w:p>
    <w:p>
      <w:pPr>
        <w:spacing w:after="0" w:line="5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631</w:t>
      </w:r>
    </w:p>
    <w:p>
      <w:pPr>
        <w:spacing w:after="0" w:line="5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(79)</w:t>
      </w:r>
    </w:p>
    <w:p>
      <w:pPr>
        <w:spacing w:after="0" w:line="5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(38)</w:t>
      </w:r>
    </w:p>
    <w:p>
      <w:pPr>
        <w:spacing w:after="0" w:line="63" w:lineRule="exact"/>
        <w:rPr>
          <w:sz w:val="20"/>
          <w:szCs w:val="20"/>
          <w:color w:val="auto"/>
        </w:rPr>
      </w:pPr>
    </w:p>
    <w:p>
      <w:pPr>
        <w:ind w:left="900" w:hanging="899"/>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88265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060" w:space="720"/>
            <w:col w:w="2460"/>
          </w:cols>
          <w:pgMar w:left="320" w:top="121" w:right="339" w:bottom="1440" w:gutter="0" w:footer="0" w:header="0"/>
          <w:type w:val="continuous"/>
        </w:sectPr>
      </w:pPr>
    </w:p>
    <w:p>
      <w:pPr>
        <w:spacing w:after="0" w:line="268" w:lineRule="exact"/>
        <w:rPr>
          <w:sz w:val="20"/>
          <w:szCs w:val="20"/>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cost of real estate for federal income tax purposes is approximately $11,470 million at December 31, 2025.</w:t>
      </w:r>
    </w:p>
    <w:p>
      <w:pPr>
        <w:spacing w:after="0" w:line="31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cost of properties excludes construction-in-progress assets.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240"/>
          </w:cols>
          <w:pgMar w:left="320" w:top="121" w:right="339" w:bottom="1440" w:gutter="0" w:footer="0" w:header="0"/>
          <w:type w:val="continuous"/>
        </w:sectPr>
      </w:pPr>
    </w:p>
    <w:bookmarkStart w:id="136" w:name="page137"/>
    <w:bookmarkEnd w:id="136"/>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2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b w:val="1"/>
          <w:bCs w:val="1"/>
          <w:color w:val="auto"/>
        </w:rPr>
        <w:t>THE HOST HOTELS &amp; RESORTS L.P. EXECUTIVE DEFERRED COMPENSATION PLAN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NONQUALIFIED PLAN TRUST AND SERVICES AGREEMENT</w:t>
      </w:r>
    </w:p>
    <w:p>
      <w:pPr>
        <w:spacing w:after="0" w:line="232" w:lineRule="exact"/>
        <w:rPr>
          <w:sz w:val="20"/>
          <w:szCs w:val="20"/>
          <w:color w:val="auto"/>
        </w:rPr>
      </w:pPr>
    </w:p>
    <w:p>
      <w:pPr>
        <w:jc w:val="both"/>
        <w:ind w:firstLine="266"/>
        <w:spacing w:after="0" w:line="253" w:lineRule="auto"/>
        <w:rPr>
          <w:sz w:val="20"/>
          <w:szCs w:val="20"/>
          <w:color w:val="auto"/>
        </w:rPr>
      </w:pPr>
      <w:r>
        <w:rPr>
          <w:rFonts w:ascii="Times New Roman" w:cs="Times New Roman" w:eastAsia="Times New Roman" w:hAnsi="Times New Roman"/>
          <w:sz w:val="22"/>
          <w:szCs w:val="22"/>
          <w:color w:val="auto"/>
        </w:rPr>
        <w:t>THIS NONQUALIFIED PLAN TRUST AND SERVICES AGREEMENT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by and among T. Rowe Price Trust Company, a Maryland limited purpose trust company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T. Rowe Price Retirement Plan Services, Inc., a Maryland corporation (“</w:t>
      </w:r>
      <w:r>
        <w:rPr>
          <w:rFonts w:ascii="Times New Roman" w:cs="Times New Roman" w:eastAsia="Times New Roman" w:hAnsi="Times New Roman"/>
          <w:sz w:val="22"/>
          <w:szCs w:val="22"/>
          <w:b w:val="1"/>
          <w:bCs w:val="1"/>
          <w:color w:val="auto"/>
        </w:rPr>
        <w:t>Recordkeeper</w:t>
      </w:r>
      <w:r>
        <w:rPr>
          <w:rFonts w:ascii="Times New Roman" w:cs="Times New Roman" w:eastAsia="Times New Roman" w:hAnsi="Times New Roman"/>
          <w:sz w:val="22"/>
          <w:szCs w:val="22"/>
          <w:color w:val="auto"/>
        </w:rPr>
        <w:t>”), and Host Hotels &amp; resorts, L.P., a limited partnership organized under the laws of Delaware (“</w:t>
      </w:r>
      <w:r>
        <w:rPr>
          <w:rFonts w:ascii="Times New Roman" w:cs="Times New Roman" w:eastAsia="Times New Roman" w:hAnsi="Times New Roman"/>
          <w:sz w:val="22"/>
          <w:szCs w:val="22"/>
          <w:b w:val="1"/>
          <w:bCs w:val="1"/>
          <w:color w:val="auto"/>
        </w:rPr>
        <w:t>Employer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WHEREAS, Employer has established THE HOST HOTELS &amp; RESORTS L.P. EXECUTIVE DEFERRED COMPENSATION PLAN (the “Plan”) to provide deferred compensation benefits for a select group of its management or highly compensated employees; and</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Employer has incurred or expects to incur liability under the terms of the Plan with respect to the participants of the Plan and their beneficiaries (collectively “</w:t>
      </w:r>
      <w:r>
        <w:rPr>
          <w:rFonts w:ascii="Times New Roman" w:cs="Times New Roman" w:eastAsia="Times New Roman" w:hAnsi="Times New Roman"/>
          <w:sz w:val="22"/>
          <w:szCs w:val="22"/>
          <w:b w:val="1"/>
          <w:bCs w:val="1"/>
          <w:color w:val="auto"/>
        </w:rPr>
        <w:t>Trust Beneficiaries</w:t>
      </w:r>
      <w:r>
        <w:rPr>
          <w:rFonts w:ascii="Times New Roman" w:cs="Times New Roman" w:eastAsia="Times New Roman" w:hAnsi="Times New Roman"/>
          <w:sz w:val="22"/>
          <w:szCs w:val="22"/>
          <w:color w:val="auto"/>
        </w:rPr>
        <w:t>”); and</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it is the intention of Employer to make contributions to a trust to provide it with a source of funds to assist it in meeting some or all of its liabilities under the Plan; and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WHEREAS, Trustee is willing to serve as nondiscretionary trustee in accordance with the provisions of this Agreement;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23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Employer intends to obtain recordkeeping and related administrative services for the Plan from Recordkeeper and Recordkeeper is willing to perform such services in accordance with the provisions hereof.</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NOW THEREFORE, the Employer, Trustee and Recordkeeper hereby agree to the provision of such services in accordance with the following terms and conditions: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 Establishment of the Trust</w:t>
      </w:r>
    </w:p>
    <w:p>
      <w:pPr>
        <w:spacing w:after="0" w:line="2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1.1 Employer hereby establishes with Trustee a trust to accept such sums of money and other property acceptable to Trustee as from time to time shall be transferred to Trustee (the “</w:t>
      </w:r>
      <w:r>
        <w:rPr>
          <w:rFonts w:ascii="Times New Roman" w:cs="Times New Roman" w:eastAsia="Times New Roman" w:hAnsi="Times New Roman"/>
          <w:sz w:val="22"/>
          <w:szCs w:val="22"/>
          <w:b w:val="1"/>
          <w:bCs w:val="1"/>
          <w:color w:val="auto"/>
        </w:rPr>
        <w:t>Trust</w:t>
      </w:r>
      <w:r>
        <w:rPr>
          <w:rFonts w:ascii="Times New Roman" w:cs="Times New Roman" w:eastAsia="Times New Roman" w:hAnsi="Times New Roman"/>
          <w:sz w:val="22"/>
          <w:szCs w:val="22"/>
          <w:color w:val="auto"/>
        </w:rPr>
        <w:t>”). All Trust assets shall be held, administered and disposed of by Trustee in accordance with the provisions of this Agreement. Neither Trustee nor Recordkeeper shall have any obligation with respect to any decision by Employer whether to establish or fund this Trust.</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This Trust shall be irrevocable.</w:t>
      </w:r>
    </w:p>
    <w:p>
      <w:pPr>
        <w:spacing w:after="0" w:line="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1.3 The Trust is intended to constitute an unfunded arrangement for purposes of Title I of the Employee Retirement Income Security Act of 1974, as amended (“</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HOST HOTELS &amp; RESORTS 154928 ASA 11.05.25</w:t>
      </w:r>
    </w:p>
    <w:p>
      <w:pPr>
        <w:sectPr>
          <w:pgSz w:w="11900" w:h="16838" w:orient="portrait"/>
          <w:cols w:equalWidth="0" w:num="1">
            <w:col w:w="11240"/>
          </w:cols>
          <w:pgMar w:left="320" w:top="1440" w:right="339" w:bottom="1440" w:gutter="0" w:footer="0" w:header="0"/>
        </w:sectPr>
      </w:pPr>
    </w:p>
    <w:bookmarkStart w:id="137" w:name="page138"/>
    <w:bookmarkEnd w:id="137"/>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1.4 This Trust is intended to be a grantor trust, of which Employer is the grantor, within the meaning of subpart E, part I, subchapter J, chapter 1, subtitle A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and shall be construed accordingly.</w:t>
      </w:r>
    </w:p>
    <w:p>
      <w:pPr>
        <w:spacing w:after="0" w:line="21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1.5 Trust assets (including principal and any earnings thereon) shall be held separate and apart from other funds of Employer and shall be used exclusively for the uses and purposes of Trust Beneficiaries and general creditors, or payment of Plan or Trust expenses (“</w:t>
      </w:r>
      <w:r>
        <w:rPr>
          <w:rFonts w:ascii="Times New Roman" w:cs="Times New Roman" w:eastAsia="Times New Roman" w:hAnsi="Times New Roman"/>
          <w:sz w:val="22"/>
          <w:szCs w:val="22"/>
          <w:b w:val="1"/>
          <w:bCs w:val="1"/>
          <w:color w:val="auto"/>
        </w:rPr>
        <w:t>Trust Expenses</w:t>
      </w:r>
      <w:r>
        <w:rPr>
          <w:rFonts w:ascii="Times New Roman" w:cs="Times New Roman" w:eastAsia="Times New Roman" w:hAnsi="Times New Roman"/>
          <w:sz w:val="22"/>
          <w:szCs w:val="22"/>
          <w:color w:val="auto"/>
        </w:rPr>
        <w:t>”) as herein set forth. Trust Beneficiaries shall have no preferred claim on, or any beneficial ownership interest in, any assets of the Trust. Any rights created under the Plan and this Agreement shall be mere unsecured contractual rights of Trust Beneficiaries against Employer. Any assets held in the Trust will be subject to the claims of Employer’s general creditors under federal and state law in the event that Employer is Insolvent, as defined in Section 3.1.</w:t>
      </w:r>
    </w:p>
    <w:p>
      <w:pPr>
        <w:spacing w:after="0" w:line="20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1.6 Employer, in its sole discretion, may at any time, or from time to time, make additional deposits of cash or other property acceptable to Trustee to augment the Trust assets to be held, administered and disposed of by Trustee as provided in this Agreement. Neither Trustee nor any Trust Beneficiary shall have any right to compel such additional deposits.</w:t>
      </w:r>
    </w:p>
    <w:p>
      <w:pPr>
        <w:spacing w:after="0" w:line="20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2"/>
          <w:szCs w:val="22"/>
          <w:color w:val="auto"/>
        </w:rPr>
        <w:t>Trustee accepts the Trust established under this Agreement on the terms and subject to the provisions set forth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herein.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2. Payments to Trust Beneficiaries</w:t>
      </w:r>
    </w:p>
    <w:p>
      <w:pPr>
        <w:spacing w:after="0" w:line="2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1.1 If Employer has not elected to receive check and tax services on Schedule A, or if Employer directs Trustee to pay Trust assets to Employer to satisfy tax withholding obligations as described in Section 9 (regardless of whether Employer has elected check and tax services), Employer shall provide Recordkeeper, acting as agent of Trustee, with instructions to disburse amounts to Employer for payment to each Trust Beneficiary. Such instructions shall specify the investments to be liquidated to fund such payments.</w:t>
      </w:r>
    </w:p>
    <w:p>
      <w:pPr>
        <w:spacing w:after="0" w:line="2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If Employer has elected check and tax services on Schedule A, the following terms shall apply.</w:t>
      </w:r>
    </w:p>
    <w:p>
      <w:pPr>
        <w:spacing w:after="0" w:line="260" w:lineRule="exact"/>
        <w:rPr>
          <w:sz w:val="20"/>
          <w:szCs w:val="20"/>
          <w:color w:val="auto"/>
        </w:rPr>
      </w:pPr>
    </w:p>
    <w:p>
      <w:pPr>
        <w:jc w:val="both"/>
        <w:ind w:left="660" w:firstLine="644"/>
        <w:spacing w:after="0" w:line="257" w:lineRule="auto"/>
        <w:tabs>
          <w:tab w:leader="none" w:pos="195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Employer shall provide payment instructions that indicate the amounts payable to each Trust Beneficiary, the investments to be liquidated to fund such payments, the form in which such amounts are to be paid and the time of commencement for payment of such amounts.</w:t>
      </w:r>
    </w:p>
    <w:p>
      <w:pPr>
        <w:spacing w:after="0" w:line="199" w:lineRule="exact"/>
        <w:rPr>
          <w:rFonts w:ascii="Times New Roman" w:cs="Times New Roman" w:eastAsia="Times New Roman" w:hAnsi="Times New Roman"/>
          <w:sz w:val="22"/>
          <w:szCs w:val="22"/>
          <w:color w:val="auto"/>
        </w:rPr>
      </w:pPr>
    </w:p>
    <w:p>
      <w:pPr>
        <w:ind w:left="660" w:firstLine="644"/>
        <w:spacing w:after="0" w:line="271" w:lineRule="auto"/>
        <w:tabs>
          <w:tab w:leader="none" w:pos="195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herein, Trustee shall make payments out of Trust assets to Trust Beneficiaries in accordance with such payment instructions, net of tax withholding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HOST HOTELS &amp; RESORTS 154928 ASA 11.05.25</w:t>
      </w:r>
    </w:p>
    <w:p>
      <w:pPr>
        <w:sectPr>
          <w:pgSz w:w="11900" w:h="16838" w:orient="portrait"/>
          <w:cols w:equalWidth="0" w:num="1">
            <w:col w:w="11240"/>
          </w:cols>
          <w:pgMar w:left="320" w:top="1421" w:right="339" w:bottom="1440" w:gutter="0" w:footer="0" w:header="0"/>
        </w:sectPr>
      </w:pPr>
    </w:p>
    <w:bookmarkStart w:id="138" w:name="page139"/>
    <w:bookmarkEnd w:id="138"/>
    <w:p>
      <w:pPr>
        <w:jc w:val="both"/>
        <w:ind w:left="660" w:firstLine="644"/>
        <w:spacing w:after="0" w:line="295" w:lineRule="auto"/>
        <w:tabs>
          <w:tab w:leader="none" w:pos="1953"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directed by Employer, Recordkeeper, acting as agent of Trustee, shall withhold and remit to tax authorities U.S. federal income taxes and any required U.S. state income taxes, as more fully described in Section 9.</w:t>
      </w:r>
    </w:p>
    <w:p>
      <w:pPr>
        <w:spacing w:after="0" w:line="16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1.3 The entitlement of a Trust Beneficiary to benefits under the Plan shall be determined by Employer and any claim for benefits shall be considered and reviewed under the claims procedures set forth in the Plan.</w:t>
      </w:r>
    </w:p>
    <w:p>
      <w:pPr>
        <w:spacing w:after="0" w:line="17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1.4 Employer may make payment of benefits directly to Trust Beneficiaries as they become due under the terms of the Plan. Employer shall notify Recordkeeper of its decision to make payment of benefits directly prior to the time amounts are payable to Trust Beneficiaries. In addition, if Trust assets, after setting aside amounts owed for payment of Trust Expenses, are not sufficient to make payments of benefits in accordance with the terms of the Plan, Employer shall make the balance of each such payment as it falls due. Trustee or Recordkeeper shall notify Employer where the Trust assets are not sufficient to make the requested benefit payments.</w:t>
      </w:r>
    </w:p>
    <w:p>
      <w:pPr>
        <w:spacing w:after="0" w:line="20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Employer shall remain primarily liable to pay benefits under the Plan to the extent not paid from the Trust.</w:t>
      </w:r>
    </w:p>
    <w:p>
      <w:pPr>
        <w:spacing w:after="0" w:line="2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 xml:space="preserve">1.6 Notwithstanding anything to the contrary in this Agreement, </w:t>
      </w:r>
      <w:r>
        <w:rPr>
          <w:rFonts w:ascii="Times New Roman" w:cs="Times New Roman" w:eastAsia="Times New Roman" w:hAnsi="Times New Roman"/>
          <w:sz w:val="19"/>
          <w:szCs w:val="19"/>
          <w:color w:val="auto"/>
        </w:rPr>
        <w:t>in the event that Employer determines that the Trust assets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exceed one-hundred and twenty-five percent (125%) of the anticipated benefit obligations and administrative expenses that are to be paid under the Plan, the Trustee, at the direction of Employer, shall distribute to Employer such excess portion of the Trust assets. The Trustee shall be entitled to obtain, at the reasonable expense of the Employer or the Trust, and rely on verification from an independent professional advisor with respect to the calculation of the excess, if any, of the Trust assets to be distributed to the Employer.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3. Payments to Trust Beneficiaries When Employer is Insolvent</w:t>
      </w:r>
    </w:p>
    <w:p>
      <w:pPr>
        <w:spacing w:after="0" w:line="2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1.1 Upon receipt of notification that Employer is Insolvent, Trustee shall cease payment of benefits to Trust Beneficiaries. Employer shall be considered “</w:t>
      </w:r>
      <w:r>
        <w:rPr>
          <w:rFonts w:ascii="Times New Roman" w:cs="Times New Roman" w:eastAsia="Times New Roman" w:hAnsi="Times New Roman"/>
          <w:sz w:val="22"/>
          <w:szCs w:val="22"/>
          <w:b w:val="1"/>
          <w:bCs w:val="1"/>
          <w:color w:val="auto"/>
        </w:rPr>
        <w:t>Insolvent</w:t>
      </w:r>
      <w:r>
        <w:rPr>
          <w:rFonts w:ascii="Times New Roman" w:cs="Times New Roman" w:eastAsia="Times New Roman" w:hAnsi="Times New Roman"/>
          <w:sz w:val="22"/>
          <w:szCs w:val="22"/>
          <w:color w:val="auto"/>
        </w:rPr>
        <w:t>” for purposes of this Trust Agreement if: (a) Employer is unable to pay its debts as they become due, or (b) Employer is subject to a pending proceeding as a debtor under the United States Bankruptcy Code. The Employer through its Board of Directors, Chief Executive Officer, or their equivalents (the “</w:t>
      </w:r>
      <w:r>
        <w:rPr>
          <w:rFonts w:ascii="Times New Roman" w:cs="Times New Roman" w:eastAsia="Times New Roman" w:hAnsi="Times New Roman"/>
          <w:sz w:val="22"/>
          <w:szCs w:val="22"/>
          <w:b w:val="1"/>
          <w:bCs w:val="1"/>
          <w:color w:val="auto"/>
        </w:rPr>
        <w:t>Governing Body</w:t>
      </w:r>
      <w:r>
        <w:rPr>
          <w:rFonts w:ascii="Times New Roman" w:cs="Times New Roman" w:eastAsia="Times New Roman" w:hAnsi="Times New Roman"/>
          <w:sz w:val="22"/>
          <w:szCs w:val="22"/>
          <w:color w:val="auto"/>
        </w:rPr>
        <w:t>”) shall have the duty to certify in writing to Trustee and Recordkeeper that Employer is Insolvent.</w:t>
      </w:r>
    </w:p>
    <w:p>
      <w:pPr>
        <w:spacing w:after="0" w:line="20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1.2 At all times during the continuance of this Trust, as provided in Section 1.5 hereof, Trust assets (after deduction for Trust Expenses) shall be subject to the claims of general creditors of Employer in the event of Employer’s Insolvency as set forth below:</w:t>
      </w:r>
    </w:p>
    <w:p>
      <w:pPr>
        <w:spacing w:after="0" w:line="302" w:lineRule="exact"/>
        <w:rPr>
          <w:sz w:val="20"/>
          <w:szCs w:val="20"/>
          <w:color w:val="auto"/>
        </w:rPr>
      </w:pPr>
    </w:p>
    <w:p>
      <w:pPr>
        <w:jc w:val="both"/>
        <w:ind w:left="660" w:right="20" w:firstLine="644"/>
        <w:spacing w:after="0" w:line="257" w:lineRule="auto"/>
        <w:tabs>
          <w:tab w:leader="none" w:pos="195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person claiming to be a creditor of Employer alleges in writing to Trustee that Employer has become Insolvent, Trustee shall determine solely through written certification of the Governing Body whether Employer is Insolvent and, pending</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HOST HOTELS &amp; RESORTS 154928 ASA 11.05.25</w:t>
      </w:r>
    </w:p>
    <w:p>
      <w:pPr>
        <w:sectPr>
          <w:pgSz w:w="11900" w:h="16838" w:orient="portrait"/>
          <w:cols w:equalWidth="0" w:num="1">
            <w:col w:w="11240"/>
          </w:cols>
          <w:pgMar w:left="320" w:top="1421" w:right="339" w:bottom="1440" w:gutter="0" w:footer="0" w:header="0"/>
        </w:sectPr>
      </w:pPr>
    </w:p>
    <w:bookmarkStart w:id="139" w:name="page140"/>
    <w:bookmarkEnd w:id="139"/>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such determination, Recordkeeper shall discontinue payment of benefits to Trust Beneficiaries.</w:t>
      </w:r>
    </w:p>
    <w:p>
      <w:pPr>
        <w:spacing w:after="0" w:line="247" w:lineRule="exact"/>
        <w:rPr>
          <w:sz w:val="20"/>
          <w:szCs w:val="20"/>
          <w:color w:val="auto"/>
        </w:rPr>
      </w:pPr>
    </w:p>
    <w:p>
      <w:pPr>
        <w:jc w:val="both"/>
        <w:ind w:left="660" w:firstLine="644"/>
        <w:spacing w:after="0" w:line="253" w:lineRule="auto"/>
        <w:tabs>
          <w:tab w:leader="none" w:pos="195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Trustee or Recordkeeper has received written notice from the Governing Body or a person claiming to be creditor of Employer alleging that Employer is Insolvent, neither Trustee nor Recordkeeper shall have any duty to inquire whether Employer is Insolvent. Trustee and Recordkeeper may in all events rely on such certification concerning Employer’s solvency as may be furnished to Trustee and Recordkeeper by the Governing Body in accordance with Sections 3.1 and 3.2(a) hereof.</w:t>
      </w:r>
    </w:p>
    <w:p>
      <w:pPr>
        <w:spacing w:after="0" w:line="205" w:lineRule="exact"/>
        <w:rPr>
          <w:rFonts w:ascii="Times New Roman" w:cs="Times New Roman" w:eastAsia="Times New Roman" w:hAnsi="Times New Roman"/>
          <w:sz w:val="22"/>
          <w:szCs w:val="22"/>
          <w:color w:val="auto"/>
        </w:rPr>
      </w:pPr>
    </w:p>
    <w:p>
      <w:pPr>
        <w:jc w:val="both"/>
        <w:ind w:left="660" w:firstLine="644"/>
        <w:spacing w:after="0" w:line="265" w:lineRule="auto"/>
        <w:tabs>
          <w:tab w:leader="none" w:pos="1953"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Trustee or Recordkeeper has received written notice of Insolvency from the Governing Body, Recordkeeper shall discontinue payments of benefits under the Plan to Trust Beneficiaries and Trustee shall hold Trust assets (after deduction for Trust Expenses) for the benefit of Employer’s general creditors. Trustee shall deliver the Trust assets (after deduction for Trust Expenses) to satisfy the claims of Employer’s general creditors as directed by order of a court of competent jurisdiction. Nothing in this Agreement shall in any way diminish any rights of Trust Beneficiaries to pursue their rights as general creditors of Employer with respect to benefits due under the Plan or otherwise.</w:t>
      </w:r>
    </w:p>
    <w:p>
      <w:pPr>
        <w:spacing w:after="0" w:line="236" w:lineRule="exact"/>
        <w:rPr>
          <w:rFonts w:ascii="Times New Roman" w:cs="Times New Roman" w:eastAsia="Times New Roman" w:hAnsi="Times New Roman"/>
          <w:sz w:val="21"/>
          <w:szCs w:val="21"/>
          <w:color w:val="auto"/>
        </w:rPr>
      </w:pPr>
    </w:p>
    <w:p>
      <w:pPr>
        <w:jc w:val="both"/>
        <w:ind w:left="660" w:firstLine="644"/>
        <w:spacing w:after="0" w:line="256" w:lineRule="auto"/>
        <w:tabs>
          <w:tab w:leader="none" w:pos="195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Recordkeeper shall resume the payment of benefits to Trust Beneficiaries in accordance with this Agreement only after (i) the Governing Body has notified Trustee and Recordkeeper in writing that Employer is not Insolvent (or is no longer Insolvent) and Employer has directed such resumption, or (ii) by order of a court of competent jurisdiction.</w:t>
      </w:r>
    </w:p>
    <w:p>
      <w:pPr>
        <w:spacing w:after="0" w:line="20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1.3 Provided that there are sufficient assets in the Trust after deduction for Trust Expenses, if Recordkeeper discontinues the payment of benefits from the Trust pursuant to Section 3.2 hereof and subsequently resumes such payments, the first payment following such discontinuance to each Trust Beneficiary shall include the aggregate amount of all payments which would have been made to such Trust Beneficiary during the period of such discontinuance, less the aggregate amount of any payments (as reflected in the payment instructions) made to such Trust Beneficiary by Employer during any such period of discontinuance, unless directed otherwise by Employer.</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4. Payments to Employer</w:t>
      </w:r>
    </w:p>
    <w:p>
      <w:pPr>
        <w:spacing w:after="0" w:line="2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Except as provided in Section 3 hereof, if the Trust is irrevocable, Employer shall have no right or power to direct Trustee to return to Employer for its own purposes, or to divert to others, any of the Trust assets before: (a) all Trust Expenses have been paid; and (b) Employer has certified to Trustee that all benefits have been paid to Trust Beneficiaries; provided, however, that nothing shall prohibit Trustee from making payments to Employer as provided in Section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HOST HOTELS &amp; RESORTS 154928 ASA 11.05.25</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5. Trust Investments</w:t>
      </w:r>
    </w:p>
    <w:p>
      <w:pPr>
        <w:spacing w:after="0" w:line="25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1"/>
          <w:szCs w:val="21"/>
          <w:color w:val="auto"/>
        </w:rPr>
        <w:t>1.1 Subject to the provisions of Section 1.1 and this Section 5.1, Trustee shall invest the Trust assets solely as directed by Employer. Employer shall limit its directions to the following categories of investments: (a) investment companies registered under the Investment Company Act of 1940 (“</w:t>
      </w:r>
      <w:r>
        <w:rPr>
          <w:rFonts w:ascii="Times New Roman" w:cs="Times New Roman" w:eastAsia="Times New Roman" w:hAnsi="Times New Roman"/>
          <w:sz w:val="21"/>
          <w:szCs w:val="21"/>
          <w:b w:val="1"/>
          <w:bCs w:val="1"/>
          <w:color w:val="auto"/>
        </w:rPr>
        <w:t>Mutual Funds</w:t>
      </w:r>
      <w:r>
        <w:rPr>
          <w:rFonts w:ascii="Times New Roman" w:cs="Times New Roman" w:eastAsia="Times New Roman" w:hAnsi="Times New Roman"/>
          <w:sz w:val="21"/>
          <w:szCs w:val="21"/>
          <w:color w:val="auto"/>
        </w:rPr>
        <w:t>”) and advised by T. Rowe Price Associates, Inc. (“</w:t>
      </w:r>
      <w:r>
        <w:rPr>
          <w:rFonts w:ascii="Times New Roman" w:cs="Times New Roman" w:eastAsia="Times New Roman" w:hAnsi="Times New Roman"/>
          <w:sz w:val="21"/>
          <w:szCs w:val="21"/>
          <w:b w:val="1"/>
          <w:bCs w:val="1"/>
          <w:color w:val="auto"/>
        </w:rPr>
        <w:t>Price Funds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ind w:firstLine="8"/>
        <w:spacing w:after="0" w:line="248" w:lineRule="auto"/>
        <w:tabs>
          <w:tab w:leader="none" w:pos="33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Mutual Funds advised by entities other than T. Rowe Price Associates, Inc. (“</w:t>
      </w:r>
      <w:r>
        <w:rPr>
          <w:rFonts w:ascii="Times New Roman" w:cs="Times New Roman" w:eastAsia="Times New Roman" w:hAnsi="Times New Roman"/>
          <w:sz w:val="22"/>
          <w:szCs w:val="22"/>
          <w:b w:val="1"/>
          <w:bCs w:val="1"/>
          <w:color w:val="auto"/>
        </w:rPr>
        <w:t>Non-Price Funds</w:t>
      </w:r>
      <w:r>
        <w:rPr>
          <w:rFonts w:ascii="Times New Roman" w:cs="Times New Roman" w:eastAsia="Times New Roman" w:hAnsi="Times New Roman"/>
          <w:sz w:val="22"/>
          <w:szCs w:val="22"/>
          <w:color w:val="auto"/>
        </w:rPr>
        <w:t>”); and (c) governmental obligations, savings and time deposits, certificates of deposit, or cash.</w:t>
      </w:r>
    </w:p>
    <w:p>
      <w:pPr>
        <w:spacing w:after="0" w:line="20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1.2 Schedule B shall contain the specific direction of Employer with respect to specific Trust investments from among the categories permitted in Section 5.1. Employer hereby directs Trustee to invest the Trust assets among the investment options listed on Schedule B in accordance with the elections provided by each Trust Beneficiary to Recordkeeper. After consultation with Recordkeeper and Trustee as to the acceptability of such assets to Trustee and the administrative feasibility and timing of any change, Employer may change the Plan’s investment options listed on Schedule B by providing written directions to Recordkeeper and Trustee; provided, however, that Trustee shall not be required to hold in the Trust any assets that are not permissible under Section 5.1. To the extent any investment option included in Schedule B is a target date fund advised by T. Rowe Price Associates, Inc., Employer hereby directs that any new fund in the same series be added to the investment options after notice to Employer, unless Employer provides prior written notice of its objection to Trustee.</w:t>
      </w:r>
    </w:p>
    <w:p>
      <w:pPr>
        <w:spacing w:after="0" w:line="207"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1.3 Neither Trustee nor Recordkeeper shall have any duty to question any action or inaction of Employer, or any direction or absence thereof from Employer. Neither Recordkeeper nor Trustee shall have a duty to make any suggestion to Employer as to the investment or reinvestment of, or the disposition of, Trust assets.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6. Disposition of Income</w:t>
      </w:r>
    </w:p>
    <w:p>
      <w:pPr>
        <w:spacing w:after="0" w:line="2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During the term of this Trust, all income received in the Trust shall be accumulated and reinvested without distinction between principal and income.</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7. Accounting by Trustee and Recordkeeper</w:t>
      </w:r>
    </w:p>
    <w:p>
      <w:pPr>
        <w:spacing w:after="0" w:line="26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When Trustee and Recordkeeper provide reports of Trust investments to Employer, as more fully described in Section 14.4, such reports shall be based, without independent investigation, upon values provided by third parties commonly relied upon for such purposes, including sponsors of Mutual Funds, records of securities exchanges and third-party pricing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HOST HOTELS &amp; RESORTS 154928 ASA 11.05.25</w:t>
      </w:r>
    </w:p>
    <w:p>
      <w:pPr>
        <w:sectPr>
          <w:pgSz w:w="11900" w:h="16838" w:orient="portrait"/>
          <w:cols w:equalWidth="0" w:num="1">
            <w:col w:w="11240"/>
          </w:cols>
          <w:pgMar w:left="320" w:top="1440" w:right="339"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8. Trustee Responsibility and Duties</w:t>
      </w:r>
    </w:p>
    <w:p>
      <w:pPr>
        <w:spacing w:after="0" w:line="251"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1.1 Trustee agrees to discharge and perform fully and faithfully all of the duties and obligations imposed upon it under this Agreement.</w:t>
      </w:r>
    </w:p>
    <w:p>
      <w:pPr>
        <w:spacing w:after="0" w:line="198"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1.2 Trustee may use agents, including Recordkeeper and T. Rowe Price Investment Services, Inc., to fulfill its obligations under this Agreement.</w:t>
      </w:r>
    </w:p>
    <w:p>
      <w:pPr>
        <w:spacing w:after="0" w:line="18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1.3 Trustee shall have the following powers and authority as necessary to effectuate the directions of Employer or fulfill its nondiscretionary responsibilities hereunder with respect to Trust assets:</w:t>
      </w:r>
    </w:p>
    <w:p>
      <w:pPr>
        <w:spacing w:after="0" w:line="185" w:lineRule="exact"/>
        <w:rPr>
          <w:sz w:val="20"/>
          <w:szCs w:val="20"/>
          <w:color w:val="auto"/>
        </w:rPr>
      </w:pPr>
    </w:p>
    <w:p>
      <w:pPr>
        <w:ind w:left="1940" w:hanging="636"/>
        <w:spacing w:after="0"/>
        <w:tabs>
          <w:tab w:leader="none" w:pos="194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receive and hold all contributions paid to it by Employer;</w:t>
      </w:r>
    </w:p>
    <w:p>
      <w:pPr>
        <w:spacing w:after="0" w:line="2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payments to Trust Beneficiaries, Employer, tax authorities or others as contemplated hereunder;</w:t>
      </w:r>
    </w:p>
    <w:p>
      <w:pPr>
        <w:spacing w:after="0" w:line="27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 exchange or transfer any property as directed or contemplated hereunder;</w:t>
      </w:r>
    </w:p>
    <w:p>
      <w:pPr>
        <w:spacing w:after="0" w:line="28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5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direction of Employer, to exercise any right, including the right to vote or tender, appurtenant to any securities held in the Trust; exercise conversion privileges, subscription rights and other options; and participate in or dissent from any plan of reorganization, consolidation, merger, combination, liquidation or other similar plan relating to any such property;</w:t>
      </w:r>
    </w:p>
    <w:p>
      <w:pPr>
        <w:spacing w:after="0" w:line="243" w:lineRule="exact"/>
        <w:rPr>
          <w:rFonts w:ascii="Times New Roman" w:cs="Times New Roman" w:eastAsia="Times New Roman" w:hAnsi="Times New Roman"/>
          <w:sz w:val="22"/>
          <w:szCs w:val="22"/>
          <w:color w:val="auto"/>
        </w:rPr>
      </w:pPr>
    </w:p>
    <w:p>
      <w:pPr>
        <w:ind w:left="660" w:firstLine="644"/>
        <w:spacing w:after="0" w:line="271" w:lineRule="auto"/>
        <w:tabs>
          <w:tab w:leader="none" w:pos="195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participate in litigation arising in connection with this Trust, and to pay the costs thereof from the Trust if not paid by Employer;</w:t>
      </w:r>
    </w:p>
    <w:p>
      <w:pPr>
        <w:spacing w:after="0" w:line="225"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hold or make payment from Trust assets pursuant to valid levies or liens;</w:t>
      </w:r>
    </w:p>
    <w:p>
      <w:pPr>
        <w:spacing w:after="0" w:line="28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engage and rely upon legal counsel (including counsel to Employer, to Trustee or to Recordkeeper) with respect to any of its duties or obligations hereunder, and to pay reasonable fees and expenses for such counsel out of Trust assets, if not paid by Employer;</w:t>
      </w:r>
    </w:p>
    <w:p>
      <w:pPr>
        <w:spacing w:after="0" w:line="240"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5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engage and rely upon any agents, accountants, actuaries, investment advisors, financial consultants or other professionals to assist it in performing any of its duties or obligations hereunder, and to pay reasonable fees and expenses for such assistance out of the Trust assets, if not paid by Employer;</w:t>
      </w:r>
    </w:p>
    <w:p>
      <w:pPr>
        <w:spacing w:after="0" w:line="234" w:lineRule="exact"/>
        <w:rPr>
          <w:rFonts w:ascii="Times New Roman" w:cs="Times New Roman" w:eastAsia="Times New Roman" w:hAnsi="Times New Roman"/>
          <w:sz w:val="22"/>
          <w:szCs w:val="22"/>
          <w:color w:val="auto"/>
        </w:rPr>
      </w:pPr>
    </w:p>
    <w:p>
      <w:pPr>
        <w:ind w:left="660" w:firstLine="644"/>
        <w:spacing w:after="0" w:line="271" w:lineRule="auto"/>
        <w:tabs>
          <w:tab w:leader="none" w:pos="194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register any investment held by it in its own name or in the name of any custodian or of its nominee, with or without the addition of words indicating that such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HOST HOTELS &amp; RESORTS 154928 ASA 11.05.25</w:t>
      </w:r>
    </w:p>
    <w:p>
      <w:pPr>
        <w:sectPr>
          <w:pgSz w:w="11900" w:h="16838" w:orient="portrait"/>
          <w:cols w:equalWidth="0" w:num="1">
            <w:col w:w="11240"/>
          </w:cols>
          <w:pgMar w:left="320" w:top="1417" w:right="339" w:bottom="1440" w:gutter="0" w:footer="0" w:header="0"/>
        </w:sectPr>
      </w:pPr>
    </w:p>
    <w:bookmarkStart w:id="142" w:name="page143"/>
    <w:bookmarkEnd w:id="142"/>
    <w:p>
      <w:pPr>
        <w:ind w:left="660" w:right="20"/>
        <w:spacing w:after="0" w:line="271" w:lineRule="auto"/>
        <w:rPr>
          <w:sz w:val="20"/>
          <w:szCs w:val="20"/>
          <w:color w:val="auto"/>
        </w:rPr>
      </w:pPr>
      <w:r>
        <w:rPr>
          <w:rFonts w:ascii="Times New Roman" w:cs="Times New Roman" w:eastAsia="Times New Roman" w:hAnsi="Times New Roman"/>
          <w:sz w:val="22"/>
          <w:szCs w:val="22"/>
          <w:color w:val="auto"/>
        </w:rPr>
        <w:t>securities are held in a trust capacity, provided the books and records of Trustee reflect such investments as part of the Trust;</w:t>
      </w:r>
    </w:p>
    <w:p>
      <w:pPr>
        <w:spacing w:after="0" w:line="225" w:lineRule="exact"/>
        <w:rPr>
          <w:sz w:val="20"/>
          <w:szCs w:val="20"/>
          <w:color w:val="auto"/>
        </w:rPr>
      </w:pPr>
    </w:p>
    <w:p>
      <w:pPr>
        <w:jc w:val="both"/>
        <w:ind w:left="660" w:firstLine="644"/>
        <w:spacing w:after="0" w:line="263" w:lineRule="auto"/>
        <w:tabs>
          <w:tab w:leader="none" w:pos="19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hold or to appoint an agent or custodian to hold any property hereunder in bearer form or in its own name or the name of its nominee and to deposit or arrange for the deposit of any such securities or other property in a securities depository or clearing agency; and</w:t>
      </w:r>
    </w:p>
    <w:p>
      <w:pPr>
        <w:spacing w:after="0" w:line="221" w:lineRule="exact"/>
        <w:rPr>
          <w:rFonts w:ascii="Times New Roman" w:cs="Times New Roman" w:eastAsia="Times New Roman" w:hAnsi="Times New Roman"/>
          <w:sz w:val="22"/>
          <w:szCs w:val="22"/>
          <w:color w:val="auto"/>
        </w:rPr>
      </w:pPr>
    </w:p>
    <w:p>
      <w:pPr>
        <w:ind w:left="660" w:firstLine="644"/>
        <w:spacing w:after="0" w:line="284" w:lineRule="auto"/>
        <w:tabs>
          <w:tab w:leader="none" w:pos="195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execute, acknowledge and deliver any and all documents of transfer and conveyance, trading agreements or other instruments necessary or proper for the accomplishment of any of the foregoing powers.</w:t>
      </w:r>
    </w:p>
    <w:p>
      <w:pPr>
        <w:spacing w:after="0" w:line="21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1.4 Each and all of the foregoing powers may be exercised without a court order or approval, but Trustee may in its discretion seek judicial authority and deduct the costs thereof from the Trust, if not paid by Employer.</w:t>
      </w:r>
    </w:p>
    <w:p>
      <w:pPr>
        <w:spacing w:after="0" w:line="185"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1.5 Notwithstanding any powers granted to Trustee pursuant to this Agreement or to applicable law, Trustee shall not have any power that could give this Trust the objective of carrying on a business and dividing the gains therefrom, within the meaning of section 301.7701-2 of the Procedure and Administrative Regulations promulgated pursuant to the Code.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 Taxes</w:t>
      </w:r>
    </w:p>
    <w:p>
      <w:pPr>
        <w:spacing w:after="0" w:line="25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1.1 Trustee’s and Recordkeeper’s sole obligation with respect to filing tax returns or reports, or remitting taxes, is listed on Schedule A. If Employer has elected check and tax services on Schedule A, Recordkeeper, unless otherwise instructed by Employer, shall withhold and remit to tax authorities U.S. federal income taxes and any required U.S. state income taxes (based on the Trust Beneficiary’s then-current address of record) at the rates specified in Employer’s payment instruction. Except for those obligations and as specified in the following section, neither Trustee nor Recordkeeper shall have any authority or responsibility to file tax returns or reports, or remit taxes whether from Trust assets or its corporate assets. Specifically, neither Recordkeeper nor Trustee shall have any tax reporting or withholding obligation with respect to foreign (non-U.S.) taxes, taxes of any U.S. territory, possession or commonwealth (other than the District of Columbia), U.S. municipal taxes of any type (including taxes of any political subdivision of any state), FICA or FUTA taxes, state employment or unemployment taxes, or taxes or penalties imposed under section 409A of the Code or comparable state law.</w:t>
      </w:r>
    </w:p>
    <w:p>
      <w:pPr>
        <w:spacing w:after="0" w:line="28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1.2 Employer shall pay all taxes (including withholding) lawfully required, levied or assessed upon the Trust other than taxes that Trustee and Recordkeeper are expressly obligated or directed to pay from Trust assets under this Agreement. To the extent that the tax is required due to a withholding obligation on a distribution that neither Trustee nor Recordkeeper are obligated to perform, pursuant to Section 9.1, Employer may direct Trustee to pay to Employer from the Trust an amount necessary to satisfy the obligation. In such case, Recordkeeper, acting as agent of Trustee, shall send the entire distribution amount to Employer so that Employer can issue the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HOST HOTELS &amp; RESORTS 154928 ASA 11.05.25</w:t>
      </w:r>
    </w:p>
    <w:p>
      <w:pPr>
        <w:sectPr>
          <w:pgSz w:w="11900" w:h="16838" w:orient="portrait"/>
          <w:cols w:equalWidth="0" w:num="1">
            <w:col w:w="11240"/>
          </w:cols>
          <w:pgMar w:left="320" w:top="1421" w:right="339" w:bottom="1440" w:gutter="0" w:footer="0" w:header="0"/>
        </w:sectPr>
      </w:pPr>
    </w:p>
    <w:bookmarkStart w:id="143" w:name="page144"/>
    <w:bookmarkEnd w:id="143"/>
    <w:p>
      <w:pPr>
        <w:spacing w:after="0" w:line="3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check and perform tax withholding. In the event Employer fails to pay such taxes, Trustee or Recordkeeper shall, upon receipt of a levy or assessment, pay such taxes from Trust assets.</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1.3 In the event Employer contests the validity of any tax payable from Trust assets, Employer shall contest the validity of such taxes on behalf of the Trust, and Trustee shall have no obligation to take any steps in connection with such contest except as may be required to facilitate Employer’s actions on behalf of the Trust.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10. Compensation and Expenses</w:t>
      </w:r>
    </w:p>
    <w:p>
      <w:pPr>
        <w:spacing w:after="0" w:line="25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1.1 Employer shall pay Trustee and Recordkeeper, as applicable, the fees set forth in Schedule C as compensation for their services hereunder. The fee may be changed by Trustee or Recordkeeper, as applicable, upon (90) days prior written notice to Employer.</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1.2 Employer shall pay Recordkeeper and Trustee fees and other expenses incurred by Trustee or Recordkeeper in the performance of their duties under this Agreement. If not so paid, such fees and expenses shall be paid from the Trust.</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1.3 Employer acknowledges that Recordkeeper or its affiliates receive compensation in connection with the Price Funds and may receive compensation in connection with Non-Price Funds selected by Employer as Plan investment options as disclosed on Schedule C and related attachments. The annual operating expenses of the Price Funds are disclosed in the Price Funds’ prospectuses and shareholder reports.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 Resignation or Removal of Trustee or Recordkeeper; Designation of Successor Trustee</w:t>
      </w:r>
    </w:p>
    <w:p>
      <w:pPr>
        <w:spacing w:after="0" w:line="2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Trustee Provisions.</w:t>
      </w:r>
    </w:p>
    <w:p>
      <w:pPr>
        <w:spacing w:after="0" w:line="260" w:lineRule="exact"/>
        <w:rPr>
          <w:sz w:val="20"/>
          <w:szCs w:val="20"/>
          <w:color w:val="auto"/>
        </w:rPr>
      </w:pPr>
    </w:p>
    <w:p>
      <w:pPr>
        <w:ind w:left="1940" w:hanging="636"/>
        <w:spacing w:after="0"/>
        <w:tabs>
          <w:tab w:leader="none" w:pos="19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Trustee may resign at any time upon at least 90 days’ advance written notice to Employer.</w:t>
      </w:r>
    </w:p>
    <w:p>
      <w:pPr>
        <w:spacing w:after="0" w:line="2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Employer may remove Trustee with or without cause, upon at least 90 days’ advance written notice to</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Trustee.</w:t>
      </w:r>
    </w:p>
    <w:p>
      <w:pPr>
        <w:spacing w:after="0" w:line="263" w:lineRule="exact"/>
        <w:rPr>
          <w:rFonts w:ascii="Times New Roman" w:cs="Times New Roman" w:eastAsia="Times New Roman" w:hAnsi="Times New Roman"/>
          <w:sz w:val="22"/>
          <w:szCs w:val="22"/>
          <w:color w:val="auto"/>
        </w:rPr>
      </w:pPr>
    </w:p>
    <w:p>
      <w:pPr>
        <w:ind w:left="660" w:firstLine="644"/>
        <w:spacing w:after="0" w:line="271" w:lineRule="auto"/>
        <w:tabs>
          <w:tab w:leader="none" w:pos="195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resignation or removal of Trustee and appointment of a successor trustee, all assets shall be transferred to the successor trustee as soon as administratively feasible.</w:t>
      </w:r>
    </w:p>
    <w:p>
      <w:pPr>
        <w:spacing w:after="0" w:line="225"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5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Trustee resigns or is removed and no successor trustee has been appointed, then if the Trust is revocable, Trustee shall deem the Trust to be revoked, and shall make all payments to Employer. If, however, the Trust is irrevocable, Trustee may apply to a court of competent jurisdiction for appointment of a successor trustee or for instructions. All expenses of Trustee in connection with the proceeding shall be paid from the Trust before assets are transferred, if not paid by Employer.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HOST HOTELS &amp; RESORTS 154928 ASA 11.05.25</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25" w:lineRule="exact"/>
        <w:rPr>
          <w:sz w:val="20"/>
          <w:szCs w:val="20"/>
          <w:color w:val="auto"/>
        </w:rPr>
      </w:pPr>
    </w:p>
    <w:p>
      <w:pPr>
        <w:jc w:val="both"/>
        <w:ind w:left="660" w:firstLine="644"/>
        <w:spacing w:after="0" w:line="257" w:lineRule="auto"/>
        <w:tabs>
          <w:tab w:leader="none" w:pos="195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such successor trustee, during such period as it shall act as such, shall have the powers and duties herein conferred upon Trustee, and the word “Trustee” wherever used herein, except where the context otherwise requires, shall be deemed to include any successor trustee.</w:t>
      </w:r>
    </w:p>
    <w:p>
      <w:pPr>
        <w:spacing w:after="0" w:line="21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Recordkeeper Provisions.</w:t>
      </w:r>
    </w:p>
    <w:p>
      <w:pPr>
        <w:spacing w:after="0" w:line="247" w:lineRule="exact"/>
        <w:rPr>
          <w:sz w:val="20"/>
          <w:szCs w:val="20"/>
          <w:color w:val="auto"/>
        </w:rPr>
      </w:pPr>
    </w:p>
    <w:p>
      <w:pPr>
        <w:ind w:left="1940" w:hanging="636"/>
        <w:spacing w:after="0"/>
        <w:tabs>
          <w:tab w:leader="none" w:pos="19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Recordkeeper may resign at any time upon at least 90 days’ advance written notice to Employer.</w:t>
      </w:r>
    </w:p>
    <w:p>
      <w:pPr>
        <w:spacing w:after="0" w:line="246" w:lineRule="exact"/>
        <w:rPr>
          <w:rFonts w:ascii="Times New Roman" w:cs="Times New Roman" w:eastAsia="Times New Roman" w:hAnsi="Times New Roman"/>
          <w:sz w:val="22"/>
          <w:szCs w:val="22"/>
          <w:color w:val="auto"/>
        </w:rPr>
      </w:pPr>
    </w:p>
    <w:p>
      <w:pPr>
        <w:ind w:left="660" w:firstLine="644"/>
        <w:spacing w:after="0" w:line="271" w:lineRule="auto"/>
        <w:tabs>
          <w:tab w:leader="none" w:pos="195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Employer may remove Recordkeeper (which shall automatically remove Trustee) with or without cause, upon at least 90 days’ advance written notice to Recordkeeper.</w:t>
      </w:r>
    </w:p>
    <w:p>
      <w:pPr>
        <w:spacing w:after="0" w:line="225"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1.3 (a) The resignation or removal of Trustee will result in the termination of this Agreement with respect to the Trustee; provided, however, that Section 11.1 shall survive termination of the Agreement with respect to the Trustee. In the event that Recordkeeper continues to provide recordkeeping services under this Agreement after the resignation or removal of Trustee, the provisions of this Agreement applicable to Recordkeeper shall continue to apply; provided, however, that the parties shall negotiate promptly in good faith a replacement agreement for Recordkeeper.</w:t>
      </w:r>
    </w:p>
    <w:p>
      <w:pPr>
        <w:spacing w:after="0" w:line="206" w:lineRule="exact"/>
        <w:rPr>
          <w:sz w:val="20"/>
          <w:szCs w:val="20"/>
          <w:color w:val="auto"/>
        </w:rPr>
      </w:pPr>
    </w:p>
    <w:p>
      <w:pPr>
        <w:jc w:val="both"/>
        <w:ind w:left="660" w:firstLine="644"/>
        <w:spacing w:after="0" w:line="256" w:lineRule="auto"/>
        <w:tabs>
          <w:tab w:leader="none" w:pos="163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resignation or removal of Recordkeeper, at such time the services provided by Trustee under this Agreement, if applicable, will be terminated and will result in the termination of this Agreement with respect to Recordkeeper and Trustee; provided, however, that Sections 10, 11.1, 11.2, 18, 19.2 and 19.3 shall survive termination of the Agreement.</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12. Amendment of Agreement; Termination of Trust</w:t>
      </w:r>
    </w:p>
    <w:p>
      <w:pPr>
        <w:spacing w:after="0" w:line="2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1.1 Except as otherwise provided in Section 10.1, this Agreement may be amended only by written instrument executed by Employer, Trustee and Recordkeeper. Notwithstanding the prior sentence, upon notice to Employer, the Recordkeeper and Trustee may modify or replace Schedules B and C-1 of this Agreement when Employer provides direction to change the Plan investment options in accordance with the terms of the Agreement, and, in the case of Schedule C-1, when the rates of administrative fee payments change.</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1.2 No amendment of the Trust provisions of this Agreement shall make revocable a Trust that is or has become irrevocable.</w:t>
      </w:r>
    </w:p>
    <w:p>
      <w:pPr>
        <w:spacing w:after="0" w:line="2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1.3 The Trust shall terminate: (a) when Trust Beneficiaries are no longer entitled to benefits pursuant to the terms of the Plan; (b) if the Trust is revocable, upon Trustee’s receipt of notification that Employer has revoked the Trust (or Employer is deemed to have revoked the Trust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HOST HOTELS &amp; RESORTS 154928 ASA 11.05.25</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hereunder); or (c) if the Trust is irrevocable, prior to the time when all payments owed to Trust Beneficiaries have been paid provided that Trust Beneficiaries have provided written approval. Trustee shall have no duty to determine whether all benefit payments have been made to Trust Beneficiaries, or whether all Trust Beneficiaries have provided written approval as described above, and may rely on Employer’s certification to that effect.</w:t>
      </w:r>
    </w:p>
    <w:p>
      <w:pPr>
        <w:spacing w:after="0" w:line="20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1.4 Upon termination of the Trust, all remaining assets, after payment of Trust Expenses, shall be paid by Trustee to Employer.</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1.5 Termination of the Trust shall terminate automatically the Trust provisions of this Agreement; provided, however, that the Trust provisions of the Agreement (including fee obligations) shall not terminate in such circumstances until liquidation of the Trust, subject to the survival of sections outlined in Section 11.3.</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13. Miscellaneous Trust Provisions</w:t>
      </w:r>
    </w:p>
    <w:p>
      <w:pPr>
        <w:spacing w:after="0" w:line="31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1.1 Any provision of this Agreement prohibited by law shall be ineffective to the extent of any such prohibition, without invalidating the remaining provisions hereof.</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1.2 Except insofar as applicable law or this Agreement may otherwise require: (a) benefits payable to Trust Beneficiaries under this Trust may not be anticipated, assigned (either at law or in equity), alienated, pledged, encumbered or subject to attachment, garnishment, levy, execution of other legal or equitable process; and (b) the Trust shall in no manner be liable for or subject to the debts or liabilities of any Trust Beneficiary.</w:t>
      </w:r>
    </w:p>
    <w:p>
      <w:pPr>
        <w:spacing w:after="0" w:line="22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1.3 For a Change of Control to be effective with respect to this Agreement, the Governing Body of Employer must issue written notification of Change of Control to Trustee. Trustee has no obligation to make any independent determination or verification that a Change of Control has occurred</w:t>
      </w:r>
      <w:r>
        <w:rPr>
          <w:rFonts w:ascii="Times New Roman" w:cs="Times New Roman" w:eastAsia="Times New Roman" w:hAnsi="Times New Roman"/>
          <w:sz w:val="22"/>
          <w:szCs w:val="22"/>
          <w:b w:val="1"/>
          <w:bCs w:val="1"/>
          <w:color w:val="auto"/>
        </w:rPr>
        <w: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14. Recordkeeping</w:t>
      </w:r>
    </w:p>
    <w:p>
      <w:pPr>
        <w:spacing w:after="0" w:line="26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Recordkeeper will provide, or cause to be provided through its affiliates and agents, services set forth on Schedule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1.2 Recordkeeper shall provide its services on a nondiscretionary basis in accordance with a framework of instructions and interpretations provided by Employer, including the “</w:t>
      </w:r>
      <w:r>
        <w:rPr>
          <w:rFonts w:ascii="Times New Roman" w:cs="Times New Roman" w:eastAsia="Times New Roman" w:hAnsi="Times New Roman"/>
          <w:sz w:val="22"/>
          <w:szCs w:val="22"/>
          <w:b w:val="1"/>
          <w:bCs w:val="1"/>
          <w:color w:val="auto"/>
        </w:rPr>
        <w:t>Administrative Services Manual</w:t>
      </w:r>
      <w:r>
        <w:rPr>
          <w:rFonts w:ascii="Times New Roman" w:cs="Times New Roman" w:eastAsia="Times New Roman" w:hAnsi="Times New Roman"/>
          <w:sz w:val="22"/>
          <w:szCs w:val="22"/>
          <w:color w:val="auto"/>
        </w:rPr>
        <w:t>.” The Administrative Services Manual shall include Recordkeeper’s procedures for servicing the Plan and Employer’s direction in view of those procedures. Recordkeeper may amend its procedures upon notice to Employer, provided that any material change shall not be effective if Employer has provided written objection to Recordkeeper within 90 days of such notice.</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1.3 With respect to the services that may be performed upon the instruction of Trust Beneficiaries, Recordkeeper may conclusively rely upon and is directed to act upon telephone,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HOST HOTELS &amp; RESORTS 154928 ASA 11.05.25</w:t>
      </w:r>
    </w:p>
    <w:p>
      <w:pPr>
        <w:sectPr>
          <w:pgSz w:w="11900" w:h="16838" w:orient="portrait"/>
          <w:cols w:equalWidth="0" w:num="1">
            <w:col w:w="11240"/>
          </w:cols>
          <w:pgMar w:left="320" w:top="1440" w:right="339" w:bottom="1440" w:gutter="0" w:footer="0" w:header="0"/>
        </w:sectPr>
      </w:pPr>
    </w:p>
    <w:bookmarkStart w:id="146" w:name="page147"/>
    <w:bookmarkEnd w:id="146"/>
    <w:p>
      <w:pPr>
        <w:jc w:val="both"/>
        <w:spacing w:after="0" w:line="257" w:lineRule="auto"/>
        <w:rPr>
          <w:sz w:val="20"/>
          <w:szCs w:val="20"/>
          <w:color w:val="auto"/>
        </w:rPr>
      </w:pPr>
      <w:r>
        <w:rPr>
          <w:rFonts w:ascii="Times New Roman" w:cs="Times New Roman" w:eastAsia="Times New Roman" w:hAnsi="Times New Roman"/>
          <w:sz w:val="22"/>
          <w:szCs w:val="22"/>
          <w:color w:val="auto"/>
        </w:rPr>
        <w:t>electronic or written instructions or information provided to it: (a) under a signature which purports to be that of the Trust Beneficiary; or (b) in connection with a personal identification number or other identifying information used to validate that an instruction originated from the Trust Beneficiary.</w:t>
      </w:r>
    </w:p>
    <w:p>
      <w:pPr>
        <w:spacing w:after="0" w:line="21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1.4 Within 90 days’ after the close of each Plan Year (as such term is defined in the Plan), removal or resignation of Trustee, or termination of the Trust (“</w:t>
      </w:r>
      <w:r>
        <w:rPr>
          <w:rFonts w:ascii="Times New Roman" w:cs="Times New Roman" w:eastAsia="Times New Roman" w:hAnsi="Times New Roman"/>
          <w:sz w:val="22"/>
          <w:szCs w:val="22"/>
          <w:b w:val="1"/>
          <w:bCs w:val="1"/>
          <w:color w:val="auto"/>
        </w:rPr>
        <w:t>Reporting Dates</w:t>
      </w:r>
      <w:r>
        <w:rPr>
          <w:rFonts w:ascii="Times New Roman" w:cs="Times New Roman" w:eastAsia="Times New Roman" w:hAnsi="Times New Roman"/>
          <w:sz w:val="22"/>
          <w:szCs w:val="22"/>
          <w:color w:val="auto"/>
        </w:rPr>
        <w:t>”), Trustee and Recordkeeper shall provide a written statement of all investments, receipts, disbursements and other transactions effected by it since the prior Reporting Date, including a description of all investments and securities purchased and sold with the cost or net proceeds of such purchases or sales and showing all cash, securities and other property held as of such Reporting Date. Except with respect to acts or transactions to which Employer has made written objection within 90 days of the date the statement was provided, Trustee and Recordkeeper shall be forever released and discharged from all liability and accountability for matters covered by such statement to the maximum extent permitted by applicable law.</w:t>
      </w:r>
    </w:p>
    <w:p>
      <w:pPr>
        <w:spacing w:after="0" w:line="20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1.5 Upon termination of this Agreement, Recordkeeper shall, upon Employer request, provide such Trust Beneficiary and Plan records as are standard in the recordkeeping industry, but may retain copies of such records necessary or desirable to meet legal, audit or regulatory requirements.</w:t>
      </w:r>
    </w:p>
    <w:p>
      <w:pPr>
        <w:spacing w:after="0" w:line="19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1.6 Trustee and Recordkeeper shall upon Employer’s reasonable request permit an independent public accountant selected by Employer to have reasonable access during ordinary business hours to such records as may be necessary to audit accounts for the Plan.</w:t>
      </w:r>
    </w:p>
    <w:p>
      <w:pPr>
        <w:spacing w:after="0" w:line="3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1.7 For purpose of maintaining records of each Trust Beneficiaries’ Plan account, Recordkeeper shall implement any trading restrictions and collect any redemption fees that may be applicable to transactions in Price Funds or Non-Price Funds. To the extent redemption fees are applicable and Employer has elected to invest the Trust in accordance with Trust Beneficiary elections, Employer authorizes Recordkeeper to collect and remit such fees to the applicable Mutual Fund.</w:t>
      </w:r>
    </w:p>
    <w:p>
      <w:pPr>
        <w:spacing w:after="0" w:line="19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SECTION 15. Responsibilities and Representation of Employer</w:t>
      </w:r>
    </w:p>
    <w:p>
      <w:pPr>
        <w:spacing w:after="0" w:line="2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Employer will have sole responsibility for:</w:t>
      </w:r>
    </w:p>
    <w:p>
      <w:pPr>
        <w:spacing w:after="0" w:line="247" w:lineRule="exact"/>
        <w:rPr>
          <w:sz w:val="20"/>
          <w:szCs w:val="20"/>
          <w:color w:val="auto"/>
        </w:rPr>
      </w:pPr>
    </w:p>
    <w:p>
      <w:pPr>
        <w:jc w:val="both"/>
        <w:ind w:left="660" w:firstLine="644"/>
        <w:spacing w:after="0" w:line="256" w:lineRule="auto"/>
        <w:tabs>
          <w:tab w:leader="none" w:pos="195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the Plan documents and operating the Plan pursuant to any applicable requirements of law, including the Internal Revenue Code, ERISA, and all other federal, state or local laws applicable with respect to a plan that is intended to constitute an unfunded plan maintained for the purpose of providing deferred compensation for a select group of management or highly compensated employees;</w:t>
      </w:r>
    </w:p>
    <w:p>
      <w:pPr>
        <w:spacing w:after="0" w:line="20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selecting and monitoring the investments in which the Trust is invested;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HOST HOTELS &amp; RESORTS 154928 ASA 11.05.25</w:t>
      </w:r>
    </w:p>
    <w:p>
      <w:pPr>
        <w:sectPr>
          <w:pgSz w:w="11900" w:h="16838" w:orient="portrait"/>
          <w:cols w:equalWidth="0" w:num="1">
            <w:col w:w="11240"/>
          </w:cols>
          <w:pgMar w:left="320" w:top="1421" w:right="339" w:bottom="1440" w:gutter="0" w:footer="0" w:header="0"/>
        </w:sectPr>
      </w:pPr>
    </w:p>
    <w:bookmarkStart w:id="147" w:name="page148"/>
    <w:bookmarkEnd w:id="147"/>
    <w:p>
      <w:pPr>
        <w:ind w:left="660" w:firstLine="644"/>
        <w:spacing w:after="0" w:line="271" w:lineRule="auto"/>
        <w:tabs>
          <w:tab w:leader="none" w:pos="195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insuring that services contemplated under this Agreement or directions it provides pursuant to this Agreement are consistent with Plan terms;</w:t>
      </w:r>
    </w:p>
    <w:p>
      <w:pPr>
        <w:spacing w:after="0" w:line="22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accurate and complete data as necessary for Recordkeeper or Trustee to perform their duties</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hereunder;</w:t>
      </w:r>
    </w:p>
    <w:p>
      <w:pPr>
        <w:spacing w:after="0" w:line="263" w:lineRule="exact"/>
        <w:rPr>
          <w:rFonts w:ascii="Times New Roman" w:cs="Times New Roman" w:eastAsia="Times New Roman" w:hAnsi="Times New Roman"/>
          <w:sz w:val="22"/>
          <w:szCs w:val="22"/>
          <w:color w:val="auto"/>
        </w:rPr>
      </w:pPr>
    </w:p>
    <w:p>
      <w:pPr>
        <w:ind w:left="660" w:firstLine="644"/>
        <w:spacing w:after="0" w:line="271" w:lineRule="auto"/>
        <w:tabs>
          <w:tab w:leader="none" w:pos="195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determining that the contributions made on behalf of each Trust Beneficiary are in accordance with the terms of the Plan and applicable federal, state and local laws and regulations; and</w:t>
      </w:r>
    </w:p>
    <w:p>
      <w:pPr>
        <w:spacing w:after="0" w:line="23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resolving all benefit claims and appeals under the Plan.</w:t>
      </w:r>
    </w:p>
    <w:p>
      <w:pPr>
        <w:spacing w:after="0" w:line="2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Employer shall have sole discretion to interpret the terms and conditions of the Plan.</w:t>
      </w:r>
    </w:p>
    <w:p>
      <w:pPr>
        <w:spacing w:after="0" w:line="24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1.3 Employer shall provide Recordkeeper with the most recent copy of the Plan (including all amendments thereto) and all Plan data and other documents or information that Recordkeeper may need to perform the services under this Agreement.</w:t>
      </w:r>
    </w:p>
    <w:p>
      <w:pPr>
        <w:spacing w:after="0" w:line="1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Employer shall provide such directions as are necessary for Trustee or Recordkeeper to perform its duties.</w:t>
      </w:r>
    </w:p>
    <w:p>
      <w:pPr>
        <w:spacing w:after="0" w:line="301" w:lineRule="exact"/>
        <w:rPr>
          <w:sz w:val="20"/>
          <w:szCs w:val="20"/>
          <w:color w:val="auto"/>
        </w:rPr>
      </w:pPr>
    </w:p>
    <w:p>
      <w:pPr>
        <w:jc w:val="both"/>
        <w:ind w:left="660" w:firstLine="644"/>
        <w:spacing w:after="0" w:line="250" w:lineRule="auto"/>
        <w:tabs>
          <w:tab w:leader="none" w:pos="1953"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request of Trustee or Recordkeeper, Employer will provide its direction through an authorized signer. Authorized signers shall be those individuals identified by Employer on Schedule D as formally authorized to act on behalf of Employer. Employer may amend Schedule D at any time by delivering a revised Schedule D to Recordkeeper and Trustee. Schedule D shall be effective as soon as administratively feasible after receipt by Recordkeeper (for itself and as agent of Trustee), and shall remain in effect until amended. Each individual identified as an authorized signer may provide written direction as contemplated under the Agreement and evidence of direction from any one of them shall be conclusive proof of an Employer direction.</w:t>
      </w:r>
    </w:p>
    <w:p>
      <w:pPr>
        <w:spacing w:after="0" w:line="207" w:lineRule="exact"/>
        <w:rPr>
          <w:rFonts w:ascii="Times New Roman" w:cs="Times New Roman" w:eastAsia="Times New Roman" w:hAnsi="Times New Roman"/>
          <w:sz w:val="22"/>
          <w:szCs w:val="22"/>
          <w:color w:val="auto"/>
        </w:rPr>
      </w:pPr>
    </w:p>
    <w:p>
      <w:pPr>
        <w:ind w:left="660" w:firstLine="644"/>
        <w:spacing w:after="0" w:line="271" w:lineRule="auto"/>
        <w:tabs>
          <w:tab w:leader="none" w:pos="195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paragraph shall preclude Trustee or Recordkeeper from relying in good faith on directions provided by an individual acting with apparent authority on behalf of Employer.</w:t>
      </w:r>
    </w:p>
    <w:p>
      <w:pPr>
        <w:spacing w:after="0" w:line="225"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53"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Trustee and Recordkeeper may conclusively rely upon and shall act upon telephone, electronic or written directions, documents, data and other information, which have been provided to it by Employer or its duly authorized agents or representatives.</w:t>
      </w:r>
    </w:p>
    <w:p>
      <w:pPr>
        <w:spacing w:after="0" w:line="23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1.5 If Employer prepares any communications material that describes any Price Fund, Employer shall not distribute or utilize such material until Recordkeeper has approved the portion of the material describing such investment option.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HOST HOTELS &amp; RESORTS 154928 ASA 11.05.25</w:t>
      </w:r>
    </w:p>
    <w:p>
      <w:pPr>
        <w:sectPr>
          <w:pgSz w:w="11900" w:h="16838" w:orient="portrait"/>
          <w:cols w:equalWidth="0" w:num="1">
            <w:col w:w="11240"/>
          </w:cols>
          <w:pgMar w:left="320" w:top="1421" w:right="339" w:bottom="1440" w:gutter="0" w:footer="0" w:header="0"/>
        </w:sectPr>
      </w:pPr>
    </w:p>
    <w:bookmarkStart w:id="148" w:name="page149"/>
    <w:bookmarkEnd w:id="148"/>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1.6 Neither Trustee nor Recordkeeper will have any duty to inquire into or verify the performance of the foregoing duties by Employer; provided, however, that Trustee or Recordkeeper may require that Employer perform its duties under Sections 15.4 and 15.5.</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16. Confidentiality</w:t>
      </w:r>
    </w:p>
    <w:p>
      <w:pPr>
        <w:spacing w:after="0" w:line="25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1.1 All data, records and information identifiable to the Plan or the Trust Beneficiaries that has been made available to either Recordkeeper or Trustee by Employer in connection with this Agreement, other than information which is in the public domain, which is rightfully obtained from third parties or which is developed by Recordkeeper or Trustee outside the scope of this Agreement, shall be considered “</w:t>
      </w:r>
      <w:r>
        <w:rPr>
          <w:rFonts w:ascii="Times New Roman" w:cs="Times New Roman" w:eastAsia="Times New Roman" w:hAnsi="Times New Roman"/>
          <w:sz w:val="22"/>
          <w:szCs w:val="22"/>
          <w:b w:val="1"/>
          <w:bCs w:val="1"/>
          <w:color w:val="auto"/>
        </w:rPr>
        <w:t>Employer Confidential Information.</w:t>
      </w:r>
      <w:r>
        <w:rPr>
          <w:rFonts w:ascii="Times New Roman" w:cs="Times New Roman" w:eastAsia="Times New Roman" w:hAnsi="Times New Roman"/>
          <w:sz w:val="22"/>
          <w:szCs w:val="22"/>
          <w:color w:val="auto"/>
        </w:rPr>
        <w:t>” To the extent either Recordkeeper or Trustee has Employer Confidential Information, the party with such information shall use all reasonable means to prevent the disclosure of Employer Confidential Information to any unaffiliated third party, except: (a) to provide services hereunder or effectuate the terms of this Agreement or applicable Mutual Fund rules; (b) as required by applicable law, legal subpoena, summons or other lawful process; or (c) as permitted by Employer. Recordkeeper also may disclose non-identifiable Employer Confidential Information to unaffiliated third parties in connection with providing general reports or surveys of deferred compensation plan data and information. Recordkeeper shall notify Employer upon discovery of any unauthorized disclosure of Employer Confidential Information.</w:t>
      </w:r>
    </w:p>
    <w:p>
      <w:pPr>
        <w:spacing w:after="0" w:line="27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1.2 All computer reporting systems, computer programs, software, recordkeeping systems, passwords or other security codes issued to Employer and other business practices and procedures of Recordkeeper made available to Employer by Recordkeeper or Trustee in connection with this Agreement, other than information which is in the public domain, which is rightfully obtained by Employer from third parties or which is developed by Employer outside the scope of this Agreement, shall be considered “</w:t>
      </w:r>
      <w:r>
        <w:rPr>
          <w:rFonts w:ascii="Times New Roman" w:cs="Times New Roman" w:eastAsia="Times New Roman" w:hAnsi="Times New Roman"/>
          <w:sz w:val="21"/>
          <w:szCs w:val="21"/>
          <w:b w:val="1"/>
          <w:bCs w:val="1"/>
          <w:color w:val="auto"/>
        </w:rPr>
        <w:t>Recordkeeper/Trustee Confidential Information</w:t>
      </w:r>
      <w:r>
        <w:rPr>
          <w:rFonts w:ascii="Times New Roman" w:cs="Times New Roman" w:eastAsia="Times New Roman" w:hAnsi="Times New Roman"/>
          <w:sz w:val="21"/>
          <w:szCs w:val="21"/>
          <w:color w:val="auto"/>
        </w:rPr>
        <w:t>.” Employer shall keep Recordkeeper/Trustee Confidential Information confidential and shall use all reasonable means to prevent the disclosure of any Recordkeeper/Trustee Confidential Information to any third party except: (a) as required for Employer to perform its obligations hereunder; (b) as required by legal subpoena, summons or other lawful process; or (c) as permitted by Recordkeeper or Trustee, as applicable. Employer shall notify Recordkeeper upon discovery of any unauthorized disclosure of Recordkeeper/Trustee Confidential Information.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17. Patriot Act Compliance</w:t>
      </w:r>
    </w:p>
    <w:p>
      <w:pPr>
        <w:spacing w:after="0" w:line="2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1.1 Pursuant to federal law, Trustee is required to obtain certain information relating to the Trust and/or Employer and to verify and maintain the information. If Trustee is not provided or able to verify any such information, the Trust may be frozen or closed.</w:t>
      </w:r>
    </w:p>
    <w:p>
      <w:pPr>
        <w:spacing w:after="0" w:line="21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1.2 Before the Trustee will hold any assets in the Trust, Trustee must have or be provided with: (a) the taxpayer identification number for the Trust and/or Employer (or have a copy of a submitted taxpayer identification number application for the Trust); (b) a signed copy of the Trust Agreement; and (c) Employer’s street address (a place to contact Employer for matters regarding the Trust).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HOST HOTELS &amp; RESORTS 154928 ASA 11.05.25</w:t>
      </w:r>
    </w:p>
    <w:p>
      <w:pPr>
        <w:sectPr>
          <w:pgSz w:w="11900" w:h="16838" w:orient="portrait"/>
          <w:cols w:equalWidth="0" w:num="1">
            <w:col w:w="11240"/>
          </w:cols>
          <w:pgMar w:left="320" w:top="1421" w:right="339" w:bottom="1440" w:gutter="0" w:footer="0" w:header="0"/>
        </w:sectPr>
      </w:pPr>
    </w:p>
    <w:bookmarkStart w:id="149" w:name="page150"/>
    <w:bookmarkEnd w:id="149"/>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18. Responsibility and Indemnification</w:t>
      </w:r>
    </w:p>
    <w:p>
      <w:pPr>
        <w:spacing w:after="0" w:line="26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1.1 Employer shall indemnify, hold harmless and defend Recordkeeper (including its affiliates, officers, directors, employees and agents) from and against any liability, loss and expense (including reasonable attorneys’ fees and court costs) incurred in connection with: (a) the performance of Recordkeeper’s duties under this Agreement, except to the extent that any such liability, loss or expense arises from either Recordkeeper’s own negligence or willful misconduct, (b) any action taken by Recordkeeper in accordance with the direction or instructions of Employer, any Plan representative or a Trust Beneficiary, or any failure to act in the absence of such directions or instructions, (c) any matter relating to the Plan for which Recordkeeper has no responsibility, control or liability under this Agreement, and (d) Employer’s breach of its obligations under this Agreement.</w:t>
      </w:r>
    </w:p>
    <w:p>
      <w:pPr>
        <w:spacing w:after="0" w:line="20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1.2 Employer shall indemnify, hold harmless and defend Trustee (including its affiliates, officers, directors, employees and agents) from and against any liability, loss and expense (including reasonable attorneys’ fees and court costs) incurred in connection with: (a) the performance of Trustee’s duties under this Agreement, except to the extent that any such liability, loss or expense arises from either Trustee’s own negligence or willful misconduct, (b) any action taken by Trustee in accordance with the direction or instructions of Employer or a Trust Beneficiary, or any failure to act in the absence of such directions or instructions,</w:t>
      </w:r>
    </w:p>
    <w:p>
      <w:pPr>
        <w:spacing w:after="0" w:line="2" w:lineRule="exact"/>
        <w:rPr>
          <w:sz w:val="20"/>
          <w:szCs w:val="20"/>
          <w:color w:val="auto"/>
        </w:rPr>
      </w:pPr>
    </w:p>
    <w:p>
      <w:pPr>
        <w:ind w:firstLine="8"/>
        <w:spacing w:after="0" w:line="248" w:lineRule="auto"/>
        <w:tabs>
          <w:tab w:leader="none" w:pos="32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matter relating to the Plan for which Trustee has no responsibility, control or liability under this Agreement, and (d) Employer’s breach of its obligations under this Agreement.</w:t>
      </w:r>
    </w:p>
    <w:p>
      <w:pPr>
        <w:spacing w:after="0" w:line="27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1.3 Neither Trustee nor Recordkeeper shall have any responsibility with respect to any obligation this Agreement imposes on Employer and shall have no duty to inquire into or investigate any instruction provided by Employer. Neither Trustee nor Recordkeeper shall be liable for any duty not specifically assigned herein to Trustee or to Recordkeeper, as the case may be.</w:t>
      </w:r>
    </w:p>
    <w:p>
      <w:pPr>
        <w:spacing w:after="0" w:line="2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1.4 Neither Recordkeeper nor Trustee shall be liable for the acts or omissions of any prior or subsequent recordkeeper or trustee.</w:t>
      </w: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1.5 No party shall be liable for any loss or expense resulting from a failure to fulfill or for delay in fulfilling its responsibilities under this Agreement where such failure or delay arises from any occurrence commonly known as force majeure, including, but not limited to, fire, flood, acts of God, war, riot, acts of any telephone or wireless network, strikes or other acts of workmen, accidents, acts of terrorism, revolution or any other events or circumstances beyond the reasonable control of the party affected by the occurrence.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19. General Provisions</w:t>
      </w:r>
    </w:p>
    <w:p>
      <w:pPr>
        <w:spacing w:after="0" w:line="2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1.1 Employer acknowledges and agrees that, in rendering Plan recordkeeping services to Employer, Recordkeeper provides general information only and does not provide legal, investment or tax advice.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HOST HOTELS &amp; RESORTS 154928 ASA 11.05.25</w:t>
      </w:r>
    </w:p>
    <w:p>
      <w:pPr>
        <w:sectPr>
          <w:pgSz w:w="11900" w:h="16838" w:orient="portrait"/>
          <w:cols w:equalWidth="0" w:num="1">
            <w:col w:w="11240"/>
          </w:cols>
          <w:pgMar w:left="320" w:top="1440" w:right="339" w:bottom="1440" w:gutter="0" w:footer="0" w:header="0"/>
        </w:sectPr>
      </w:pPr>
    </w:p>
    <w:bookmarkStart w:id="150" w:name="page151"/>
    <w:bookmarkEnd w:id="150"/>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1.2 Neither this Agreement nor the performance of services hereunder creates any rights in any third party (including Trust Beneficiaries, creditors or affiliate of Employer) against Recordkeeper. Further, neither this Agreement nor the performance of services hereunder creates rights in any third party against Trustee, except as specifically set forth in the Trust provisions.</w:t>
      </w:r>
    </w:p>
    <w:p>
      <w:pPr>
        <w:spacing w:after="0" w:line="19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This Agreement will be construed and governed by the laws of the State of Maryland.</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1.4 If any provision of this Agreement is found, held or deemed to be void, unlawful or unenforceable under any applicable statute or other controlling law, the remainder of this Agreement will continue in full force and effect.</w:t>
      </w:r>
    </w:p>
    <w:p>
      <w:pPr>
        <w:spacing w:after="0" w:line="1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2"/>
          <w:szCs w:val="22"/>
          <w:color w:val="auto"/>
        </w:rPr>
        <w:t>This Agreement will be binding upon the successors and assigns of the parties hereto.</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1.6 Whenever used in this Agreement, unless the context indicates otherwise, the singular will include the plural, the plural will include the singular and the male gender will include the female gender.</w:t>
      </w:r>
    </w:p>
    <w:p>
      <w:pPr>
        <w:spacing w:after="0" w:line="19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1.7 Headings in this Agreement are inserted solely for convenience of reference and will neither constitute a part of this Agreement nor affect its meaning, construction or intent.</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1.8 The waiver by any party of any provision of this Agreement or a breach of any provision of this Agreement will not operate or be construed as a waiver of any other provision or any subsequent breach.</w:t>
      </w:r>
    </w:p>
    <w:p>
      <w:pPr>
        <w:spacing w:after="0" w:line="19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1.9 This Agreement, together with the Schedules attached hereto, contains the entire agreement of the parties and supersedes all prior agreements, whether written or oral, related to the subject matter of this Agreement.</w:t>
      </w:r>
    </w:p>
    <w:p>
      <w:pPr>
        <w:spacing w:after="0" w:line="18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1.10 In the event of any conflict between the provisions of the Plan document and this Agreement, the provisions of this Agreement shall prevail.</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1.11 Each party represents and warrants that the person executing this Agreement on such party’s behalf has requisite authority to bind such party to this Agreement. The parties agree that this Agreement may be executed in one or more counterparts, each of which will be deemed to be an original copy of this Agreement and all of which, when taken together, will be deemed to constitute one and the same Agreement. The parties further agree that a party may execute this Agreement by electronic or manual means and that electronic or manual delivery of a copy of this Agreement (or any other document contemplated hereby bearing an electronic or manual signature) shall be deemed to have the same legal effect as delivery of an original, manually signed copy of this Agreement.</w:t>
      </w:r>
    </w:p>
    <w:p>
      <w:pPr>
        <w:spacing w:after="0" w:line="21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1.12 This Agreement shall be effective as of December 1, 2025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or, with respect to Trust provisions, the date of transfer to T. Rowe Price Trust Company of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HOST HOTELS &amp; RESORTS 154928 ASA 11.05.25</w:t>
      </w:r>
    </w:p>
    <w:p>
      <w:pPr>
        <w:sectPr>
          <w:pgSz w:w="11900" w:h="16838" w:orient="portrait"/>
          <w:cols w:equalWidth="0" w:num="1">
            <w:col w:w="11240"/>
          </w:cols>
          <w:pgMar w:left="320" w:top="1421" w:right="339" w:bottom="1440" w:gutter="0" w:footer="0" w:header="0"/>
        </w:sectPr>
      </w:pPr>
    </w:p>
    <w:bookmarkStart w:id="151" w:name="page152"/>
    <w:bookmarkEnd w:id="151"/>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assets which are to be held in trust pursuant to this Agreement, if later. If the Agreement is not fully executed prior to 5:00 p.m. ET on the Business Day immediately prior to the Effective Date, the Agreement shall instead be effective as of the first Business </w:t>
      </w:r>
      <w:r>
        <w:rPr>
          <w:rFonts w:ascii="Arial" w:cs="Arial" w:eastAsia="Arial" w:hAnsi="Arial"/>
          <w:sz w:val="22"/>
          <w:szCs w:val="22"/>
          <w:color w:val="auto"/>
        </w:rPr>
        <w:t>D</w:t>
      </w:r>
      <w:r>
        <w:rPr>
          <w:rFonts w:ascii="Times New Roman" w:cs="Times New Roman" w:eastAsia="Times New Roman" w:hAnsi="Times New Roman"/>
          <w:sz w:val="22"/>
          <w:szCs w:val="22"/>
          <w:color w:val="auto"/>
        </w:rPr>
        <w:t xml:space="preserve">ay immediately following the date that the Agreement is fully executed. For the avoidance of doubt, a </w:t>
      </w:r>
      <w:r>
        <w:rPr>
          <w:rFonts w:ascii="Arial" w:cs="Arial" w:eastAsia="Arial" w:hAnsi="Arial"/>
          <w:sz w:val="22"/>
          <w:szCs w:val="22"/>
          <w:color w:val="auto"/>
        </w:rPr>
        <w:t>“</w:t>
      </w:r>
      <w:r>
        <w:rPr>
          <w:rFonts w:ascii="Times New Roman" w:cs="Times New Roman" w:eastAsia="Times New Roman" w:hAnsi="Times New Roman"/>
          <w:sz w:val="22"/>
          <w:szCs w:val="22"/>
          <w:b w:val="1"/>
          <w:bCs w:val="1"/>
          <w:color w:val="auto"/>
        </w:rPr>
        <w:t>Business Day</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means each day the New York Stock Exchange is open for business. Unless otherwise agreed to between T. Rowe Price and Client upon the termination of this Agreement, T. Rowe Price is relieved from providing services under this Agreement.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20. Notices</w:t>
      </w:r>
    </w:p>
    <w:p>
      <w:pPr>
        <w:spacing w:after="0" w:line="25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1.1 Notices to Employer shall be addressed to Employer at H o s t H o t e l s &amp; R e s o r t s , L . P. , 4747 Bethesda Avenue, Bethesda Maryland 20814; provided, however, that upon Employer’s written request, such communications shall be sent to such other address as Employer may specify.</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1.2 Notices to Trustee shall be addressed to T. Rowe Price Trust Company at 1307 Point Street, Baltimore, Maryland 21231; Attention Legal Department; provided, however, that upon Trustee’s written request, such communications shall be sent to such other address as Trustee may specify.</w:t>
      </w:r>
    </w:p>
    <w:p>
      <w:pPr>
        <w:spacing w:after="0" w:line="20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1.3 Notices to Recordkeeper shall be addressed to T. Rowe Price Retirement Plan Services, Inc. at 1307 Point Street, Baltimore, Maryland 21231, Attention Legal Department, or such other address as may be provided to Employer, with a copy to the Plan’s service team.</w:t>
      </w:r>
    </w:p>
    <w:p>
      <w:pPr>
        <w:spacing w:after="0" w:line="23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1.4 A party may from time to time change its address or designee for notification purposes by giving the other party written notice of the new address or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HOST HOTELS &amp; RESORTS 154928 ASA 11.05.25</w:t>
      </w:r>
    </w:p>
    <w:p>
      <w:pPr>
        <w:sectPr>
          <w:pgSz w:w="11900" w:h="16838" w:orient="portrait"/>
          <w:cols w:equalWidth="0" w:num="1">
            <w:col w:w="11240"/>
          </w:cols>
          <w:pgMar w:left="320" w:top="1421" w:right="339" w:bottom="1440" w:gutter="0" w:footer="0" w:header="0"/>
        </w:sectPr>
      </w:pPr>
    </w:p>
    <w:bookmarkStart w:id="152" w:name="page153"/>
    <w:bookmarkEnd w:id="152"/>
    <w:p>
      <w:pPr>
        <w:ind w:left="660"/>
        <w:spacing w:after="0"/>
        <w:rPr>
          <w:sz w:val="20"/>
          <w:szCs w:val="20"/>
          <w:color w:val="auto"/>
        </w:rPr>
      </w:pPr>
      <w:r>
        <w:rPr>
          <w:rFonts w:ascii="Times New Roman" w:cs="Times New Roman" w:eastAsia="Times New Roman" w:hAnsi="Times New Roman"/>
          <w:sz w:val="21"/>
          <w:szCs w:val="21"/>
          <w:color w:val="auto"/>
        </w:rPr>
        <w:t>IN WITNESS WHEREOF, each of the parties has caused this instrument to be executed by its duly authorized officers.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70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HOST HOTELS &amp; RESORTS, L.P</w:t>
            </w:r>
          </w:p>
        </w:tc>
        <w:tc>
          <w:tcPr>
            <w:tcW w:w="4500" w:type="dxa"/>
            <w:vAlign w:val="bottom"/>
            <w:gridSpan w:val="7"/>
          </w:tcPr>
          <w:p>
            <w:pPr>
              <w:spacing w:after="0"/>
              <w:rPr>
                <w:sz w:val="20"/>
                <w:szCs w:val="20"/>
                <w:color w:val="auto"/>
              </w:rPr>
            </w:pPr>
            <w:r>
              <w:rPr>
                <w:rFonts w:ascii="Times New Roman" w:cs="Times New Roman" w:eastAsia="Times New Roman" w:hAnsi="Times New Roman"/>
                <w:sz w:val="22"/>
                <w:szCs w:val="22"/>
                <w:b w:val="1"/>
                <w:bCs w:val="1"/>
                <w:color w:val="auto"/>
              </w:rPr>
              <w:t>T. ROWE PRICE TRUST COMPANY</w:t>
            </w:r>
          </w:p>
        </w:tc>
      </w:tr>
      <w:tr>
        <w:trPr>
          <w:trHeight w:val="690"/>
        </w:trPr>
        <w:tc>
          <w:tcPr>
            <w:tcW w:w="370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By: __/s/ Joe Ottinger _______________</w:t>
            </w:r>
          </w:p>
        </w:tc>
        <w:tc>
          <w:tcPr>
            <w:tcW w:w="240" w:type="dxa"/>
            <w:vAlign w:val="bottom"/>
          </w:tcPr>
          <w:p>
            <w:pPr>
              <w:spacing w:after="0"/>
              <w:rPr>
                <w:sz w:val="24"/>
                <w:szCs w:val="24"/>
                <w:color w:val="auto"/>
              </w:rPr>
            </w:pPr>
          </w:p>
        </w:tc>
        <w:tc>
          <w:tcPr>
            <w:tcW w:w="4260" w:type="dxa"/>
            <w:vAlign w:val="bottom"/>
            <w:gridSpan w:val="6"/>
          </w:tcPr>
          <w:p>
            <w:pPr>
              <w:jc w:val="center"/>
              <w:ind w:right="480"/>
              <w:spacing w:after="0"/>
              <w:rPr>
                <w:sz w:val="20"/>
                <w:szCs w:val="20"/>
                <w:color w:val="auto"/>
              </w:rPr>
            </w:pPr>
            <w:r>
              <w:rPr>
                <w:rFonts w:ascii="Times New Roman" w:cs="Times New Roman" w:eastAsia="Times New Roman" w:hAnsi="Times New Roman"/>
                <w:sz w:val="22"/>
                <w:szCs w:val="22"/>
                <w:color w:val="auto"/>
                <w:w w:val="98"/>
              </w:rPr>
              <w:t>By: __/s/ Catherine Broderick _________</w:t>
            </w:r>
          </w:p>
        </w:tc>
      </w:tr>
      <w:tr>
        <w:trPr>
          <w:trHeight w:val="303"/>
        </w:trPr>
        <w:tc>
          <w:tcPr>
            <w:tcW w:w="5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4"/>
              </w:rPr>
              <w:t>Vice President</w:t>
            </w:r>
          </w:p>
        </w:tc>
        <w:tc>
          <w:tcPr>
            <w:tcW w:w="1540" w:type="dxa"/>
            <w:vAlign w:val="bottom"/>
          </w:tcPr>
          <w:p>
            <w:pPr>
              <w:spacing w:after="0"/>
              <w:rPr>
                <w:sz w:val="24"/>
                <w:szCs w:val="24"/>
                <w:color w:val="auto"/>
              </w:rPr>
            </w:pPr>
          </w:p>
        </w:tc>
      </w:tr>
      <w:tr>
        <w:trPr>
          <w:trHeight w:val="447"/>
        </w:trPr>
        <w:tc>
          <w:tcPr>
            <w:tcW w:w="394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Name:   __Joe Ottinger________________</w:t>
            </w:r>
          </w:p>
        </w:tc>
        <w:tc>
          <w:tcPr>
            <w:tcW w:w="4260" w:type="dxa"/>
            <w:vAlign w:val="bottom"/>
            <w:gridSpan w:val="6"/>
          </w:tcPr>
          <w:p>
            <w:pPr>
              <w:ind w:left="360"/>
              <w:spacing w:after="0"/>
              <w:rPr>
                <w:sz w:val="20"/>
                <w:szCs w:val="20"/>
                <w:color w:val="auto"/>
              </w:rPr>
            </w:pPr>
            <w:r>
              <w:rPr>
                <w:rFonts w:ascii="Times New Roman" w:cs="Times New Roman" w:eastAsia="Times New Roman" w:hAnsi="Times New Roman"/>
                <w:sz w:val="22"/>
                <w:szCs w:val="22"/>
                <w:color w:val="auto"/>
              </w:rPr>
              <w:t>Name:   Catherine Broderick____________</w:t>
            </w:r>
          </w:p>
        </w:tc>
      </w:tr>
      <w:tr>
        <w:trPr>
          <w:trHeight w:val="20"/>
        </w:trPr>
        <w:tc>
          <w:tcPr>
            <w:tcW w:w="6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160" w:type="dxa"/>
            <w:vAlign w:val="bottom"/>
            <w:gridSpan w:val="2"/>
            <w:shd w:val="clear" w:color="auto" w:fill="000000"/>
          </w:tcPr>
          <w:p>
            <w:pPr>
              <w:spacing w:after="0" w:line="20" w:lineRule="exact"/>
              <w:rPr>
                <w:sz w:val="1"/>
                <w:szCs w:val="1"/>
                <w:color w:val="auto"/>
              </w:rPr>
            </w:pPr>
          </w:p>
        </w:tc>
      </w:tr>
      <w:tr>
        <w:trPr>
          <w:trHeight w:val="723"/>
        </w:trPr>
        <w:tc>
          <w:tcPr>
            <w:tcW w:w="394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Title: _SVP, Department head, Accounting</w:t>
            </w:r>
          </w:p>
        </w:tc>
        <w:tc>
          <w:tcPr>
            <w:tcW w:w="4260" w:type="dxa"/>
            <w:vAlign w:val="bottom"/>
            <w:gridSpan w:val="6"/>
          </w:tcPr>
          <w:p>
            <w:pPr>
              <w:ind w:left="200"/>
              <w:spacing w:after="0"/>
              <w:rPr>
                <w:sz w:val="20"/>
                <w:szCs w:val="20"/>
                <w:color w:val="auto"/>
              </w:rPr>
            </w:pPr>
            <w:r>
              <w:rPr>
                <w:rFonts w:ascii="Times New Roman" w:cs="Times New Roman" w:eastAsia="Times New Roman" w:hAnsi="Times New Roman"/>
                <w:sz w:val="22"/>
                <w:szCs w:val="22"/>
                <w:color w:val="auto"/>
              </w:rPr>
              <w:t>Dated: ___11/28/2025________________</w:t>
            </w:r>
          </w:p>
        </w:tc>
      </w:tr>
      <w:tr>
        <w:trPr>
          <w:trHeight w:val="20"/>
        </w:trPr>
        <w:tc>
          <w:tcPr>
            <w:tcW w:w="640" w:type="dxa"/>
            <w:vAlign w:val="bottom"/>
            <w:gridSpan w:val="2"/>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84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723"/>
        </w:trPr>
        <w:tc>
          <w:tcPr>
            <w:tcW w:w="3700" w:type="dxa"/>
            <w:vAlign w:val="bottom"/>
            <w:gridSpan w:val="9"/>
          </w:tcPr>
          <w:p>
            <w:pPr>
              <w:spacing w:after="0"/>
              <w:rPr>
                <w:sz w:val="20"/>
                <w:szCs w:val="20"/>
                <w:color w:val="auto"/>
              </w:rPr>
            </w:pPr>
            <w:r>
              <w:rPr>
                <w:rFonts w:ascii="Times New Roman" w:cs="Times New Roman" w:eastAsia="Times New Roman" w:hAnsi="Times New Roman"/>
                <w:sz w:val="22"/>
                <w:szCs w:val="22"/>
                <w:color w:val="auto"/>
                <w:w w:val="98"/>
              </w:rPr>
              <w:t>Dated: __11/28/2025_________________</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 ROWE PRICE RETIREMENT PLAN SERVICES, INC.</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w:t>
      </w:r>
      <w:r>
        <w:rPr>
          <w:rFonts w:ascii="Times New Roman" w:cs="Times New Roman" w:eastAsia="Times New Roman" w:hAnsi="Times New Roman"/>
          <w:sz w:val="22"/>
          <w:szCs w:val="22"/>
          <w:u w:val="single" w:color="auto"/>
          <w:color w:val="auto"/>
        </w:rPr>
        <w:t>/s/ Catherine Broderick</w:t>
      </w:r>
      <w:r>
        <w:rPr>
          <w:rFonts w:ascii="Times New Roman" w:cs="Times New Roman" w:eastAsia="Times New Roman" w:hAnsi="Times New Roman"/>
          <w:sz w:val="22"/>
          <w:szCs w:val="22"/>
          <w:color w:val="auto"/>
        </w:rPr>
        <w:t>_________</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Vice President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__</w:t>
      </w:r>
      <w:r>
        <w:rPr>
          <w:rFonts w:ascii="Times New Roman" w:cs="Times New Roman" w:eastAsia="Times New Roman" w:hAnsi="Times New Roman"/>
          <w:sz w:val="22"/>
          <w:szCs w:val="22"/>
          <w:u w:val="single" w:color="auto"/>
          <w:color w:val="auto"/>
        </w:rPr>
        <w:t>Catherine Broderick</w:t>
      </w:r>
      <w:r>
        <w:rPr>
          <w:rFonts w:ascii="Times New Roman" w:cs="Times New Roman" w:eastAsia="Times New Roman" w:hAnsi="Times New Roman"/>
          <w:sz w:val="22"/>
          <w:szCs w:val="22"/>
          <w:color w:val="auto"/>
        </w:rPr>
        <w:t>_________</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Dated:___</w:t>
      </w:r>
      <w:r>
        <w:rPr>
          <w:rFonts w:ascii="Times New Roman" w:cs="Times New Roman" w:eastAsia="Times New Roman" w:hAnsi="Times New Roman"/>
          <w:sz w:val="22"/>
          <w:szCs w:val="22"/>
          <w:u w:val="single" w:color="auto"/>
          <w:color w:val="auto"/>
        </w:rPr>
        <w:t>11/28/2025</w:t>
      </w:r>
      <w:r>
        <w:rPr>
          <w:rFonts w:ascii="Times New Roman" w:cs="Times New Roman" w:eastAsia="Times New Roman" w:hAnsi="Times New Roman"/>
          <w:sz w:val="22"/>
          <w:szCs w:val="22"/>
          <w:color w:val="auto"/>
        </w:rPr>
        <w:t xml:space="preserve"> _______________</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auto"/>
        </w:rPr>
        <w:t>17</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HOST HOTELS &amp; RESORTS 154928 ASA 11.05.25</w:t>
      </w:r>
    </w:p>
    <w:p>
      <w:pPr>
        <w:sectPr>
          <w:pgSz w:w="11900" w:h="16838" w:orient="portrait"/>
          <w:cols w:equalWidth="0" w:num="1">
            <w:col w:w="10800"/>
          </w:cols>
          <w:pgMar w:left="320" w:top="1422" w:right="779" w:bottom="1440" w:gutter="0" w:footer="0" w:header="0"/>
        </w:sectPr>
      </w:pPr>
    </w:p>
    <w:bookmarkStart w:id="153" w:name="page154"/>
    <w:bookmarkEnd w:id="153"/>
    <w:p>
      <w:pPr>
        <w:ind w:left="3820"/>
        <w:spacing w:after="0"/>
        <w:rPr>
          <w:sz w:val="20"/>
          <w:szCs w:val="20"/>
          <w:color w:val="auto"/>
        </w:rPr>
      </w:pPr>
      <w:r>
        <w:rPr>
          <w:rFonts w:ascii="Arial" w:cs="Arial" w:eastAsia="Arial" w:hAnsi="Arial"/>
          <w:sz w:val="22"/>
          <w:szCs w:val="22"/>
          <w:b w:val="1"/>
          <w:bCs w:val="1"/>
          <w:color w:val="auto"/>
        </w:rPr>
        <w:t>Schedule A – Schedule of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0575" cy="163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7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FFFFFF"/>
        </w:rPr>
        <w:t>STANDARD SERVICES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Initial Implementation/Conversion Services</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20"/>
          <w:szCs w:val="20"/>
          <w:color w:val="auto"/>
        </w:rPr>
        <w:t>Plan Administration Review</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20"/>
          <w:szCs w:val="20"/>
          <w:color w:val="auto"/>
        </w:rPr>
        <w:t>Plan Set Up on Recordkeeping System</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20"/>
          <w:szCs w:val="20"/>
          <w:color w:val="auto"/>
        </w:rPr>
        <w:t>Transfer of Plan Data</w:t>
      </w:r>
    </w:p>
    <w:p>
      <w:pPr>
        <w:ind w:left="560"/>
        <w:spacing w:after="0"/>
        <w:rPr>
          <w:sz w:val="20"/>
          <w:szCs w:val="20"/>
          <w:color w:val="auto"/>
        </w:rPr>
      </w:pPr>
      <w:r>
        <w:rPr>
          <w:rFonts w:ascii="Arial" w:cs="Arial" w:eastAsia="Arial" w:hAnsi="Arial"/>
          <w:sz w:val="20"/>
          <w:szCs w:val="20"/>
          <w:color w:val="auto"/>
        </w:rPr>
        <w:t>Participant Notification of New Recordkeeper</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20"/>
          <w:szCs w:val="20"/>
          <w:color w:val="auto"/>
        </w:rPr>
        <w:t>Creation of Plan Administrative Services Manual</w:t>
      </w:r>
    </w:p>
    <w:p>
      <w:pPr>
        <w:ind w:left="560"/>
        <w:spacing w:after="0"/>
        <w:rPr>
          <w:sz w:val="20"/>
          <w:szCs w:val="20"/>
          <w:color w:val="auto"/>
        </w:rPr>
      </w:pPr>
      <w:r>
        <w:rPr>
          <w:rFonts w:ascii="Arial" w:cs="Arial" w:eastAsia="Arial" w:hAnsi="Arial"/>
          <w:sz w:val="20"/>
          <w:szCs w:val="20"/>
          <w:color w:val="auto"/>
        </w:rPr>
        <w:t>Dedicated Conversion Support</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Ongoing Recordkeeping Services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20"/>
          <w:szCs w:val="20"/>
          <w:color w:val="auto"/>
        </w:rPr>
        <w:t>Enrollment Support</w:t>
      </w:r>
    </w:p>
    <w:p>
      <w:pPr>
        <w:ind w:left="1300" w:hanging="320"/>
        <w:spacing w:after="0"/>
        <w:tabs>
          <w:tab w:leader="none" w:pos="1300" w:val="left"/>
        </w:tabs>
        <w:numPr>
          <w:ilvl w:val="0"/>
          <w:numId w:val="108"/>
        </w:numPr>
        <w:rPr>
          <w:rFonts w:ascii="Courier New" w:cs="Courier New" w:eastAsia="Courier New" w:hAnsi="Courier New"/>
          <w:sz w:val="19"/>
          <w:szCs w:val="19"/>
          <w:color w:val="auto"/>
        </w:rPr>
      </w:pPr>
      <w:r>
        <w:rPr>
          <w:rFonts w:ascii="Arial" w:cs="Arial" w:eastAsia="Arial" w:hAnsi="Arial"/>
          <w:sz w:val="19"/>
          <w:szCs w:val="19"/>
          <w:color w:val="auto"/>
        </w:rPr>
        <w:t>One annual online enrollment window for election of deferral amounts, investments and distribution dates</w:t>
      </w:r>
    </w:p>
    <w:p>
      <w:pPr>
        <w:spacing w:after="0" w:line="21" w:lineRule="exact"/>
        <w:rPr>
          <w:rFonts w:ascii="Courier New" w:cs="Courier New" w:eastAsia="Courier New" w:hAnsi="Courier New"/>
          <w:sz w:val="19"/>
          <w:szCs w:val="19"/>
          <w:color w:val="auto"/>
        </w:rPr>
      </w:pPr>
    </w:p>
    <w:p>
      <w:pPr>
        <w:ind w:left="1300" w:hanging="320"/>
        <w:spacing w:after="0" w:line="235" w:lineRule="auto"/>
        <w:tabs>
          <w:tab w:leader="none" w:pos="1300" w:val="left"/>
        </w:tabs>
        <w:numPr>
          <w:ilvl w:val="0"/>
          <w:numId w:val="108"/>
        </w:numPr>
        <w:rPr>
          <w:rFonts w:ascii="Courier New" w:cs="Courier New" w:eastAsia="Courier New" w:hAnsi="Courier New"/>
          <w:sz w:val="20"/>
          <w:szCs w:val="20"/>
          <w:color w:val="auto"/>
        </w:rPr>
      </w:pPr>
      <w:r>
        <w:rPr>
          <w:rFonts w:ascii="Arial" w:cs="Arial" w:eastAsia="Arial" w:hAnsi="Arial"/>
          <w:sz w:val="20"/>
          <w:szCs w:val="20"/>
          <w:color w:val="auto"/>
        </w:rPr>
        <w:t>Support for newly eligible participants throughout the plan year</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20"/>
          <w:szCs w:val="20"/>
          <w:color w:val="auto"/>
        </w:rPr>
        <w:t>Tracking and Maintenance of Participant Accounts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20"/>
          <w:szCs w:val="20"/>
          <w:color w:val="auto"/>
        </w:rPr>
        <w:t>Automated Payroll Processing using T. Rowe Price Layouts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20"/>
          <w:szCs w:val="20"/>
          <w:color w:val="auto"/>
        </w:rPr>
        <w:t>Participant Distribution Calculation</w:t>
      </w:r>
    </w:p>
    <w:p>
      <w:pPr>
        <w:ind w:left="560"/>
        <w:spacing w:after="0"/>
        <w:rPr>
          <w:sz w:val="20"/>
          <w:szCs w:val="20"/>
          <w:color w:val="auto"/>
        </w:rPr>
      </w:pPr>
      <w:r>
        <w:rPr>
          <w:rFonts w:ascii="Arial" w:cs="Arial" w:eastAsia="Arial" w:hAnsi="Arial"/>
          <w:sz w:val="20"/>
          <w:szCs w:val="20"/>
          <w:color w:val="auto"/>
        </w:rPr>
        <w:t>Beneficiary Services (e.g., election processing, account segregation)</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20"/>
          <w:szCs w:val="20"/>
          <w:color w:val="auto"/>
        </w:rPr>
        <w:t>Domestic Relations Order Account Segregation</w:t>
      </w:r>
    </w:p>
    <w:p>
      <w:pPr>
        <w:spacing w:after="0"/>
        <w:rPr>
          <w:sz w:val="20"/>
          <w:szCs w:val="20"/>
          <w:color w:val="auto"/>
        </w:rPr>
      </w:pPr>
      <w:r>
        <w:rPr>
          <w:rFonts w:ascii="Arial" w:cs="Arial" w:eastAsia="Arial" w:hAnsi="Arial"/>
          <w:sz w:val="20"/>
          <w:szCs w:val="20"/>
          <w:b w:val="1"/>
          <w:bCs w:val="1"/>
          <w:color w:val="auto"/>
        </w:rPr>
        <w:t>Trustee Services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20"/>
          <w:szCs w:val="20"/>
          <w:color w:val="auto"/>
        </w:rPr>
        <w:t>Maintenance of Trust Assets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20"/>
          <w:szCs w:val="20"/>
          <w:color w:val="auto"/>
        </w:rPr>
        <w:t>Annual Certified Trust Statements</w:t>
      </w:r>
    </w:p>
    <w:p>
      <w:pPr>
        <w:ind w:left="560"/>
        <w:spacing w:after="0"/>
        <w:rPr>
          <w:sz w:val="20"/>
          <w:szCs w:val="20"/>
          <w:color w:val="auto"/>
        </w:rPr>
      </w:pPr>
      <w:r>
        <w:rPr>
          <w:rFonts w:ascii="Arial" w:cs="Arial" w:eastAsia="Arial" w:hAnsi="Arial"/>
          <w:sz w:val="20"/>
          <w:szCs w:val="20"/>
          <w:color w:val="auto"/>
        </w:rPr>
        <w:t>IRS Form 1041 Filing</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20"/>
          <w:szCs w:val="20"/>
          <w:color w:val="auto"/>
        </w:rPr>
        <w:t>Plan Expense Payment, as directed</w:t>
      </w:r>
    </w:p>
    <w:p>
      <w:pPr>
        <w:spacing w:after="0"/>
        <w:rPr>
          <w:sz w:val="20"/>
          <w:szCs w:val="20"/>
          <w:color w:val="auto"/>
        </w:rPr>
      </w:pPr>
      <w:r>
        <w:rPr>
          <w:rFonts w:ascii="Arial" w:cs="Arial" w:eastAsia="Arial" w:hAnsi="Arial"/>
          <w:sz w:val="20"/>
          <w:szCs w:val="20"/>
          <w:b w:val="1"/>
          <w:bCs w:val="1"/>
          <w:color w:val="auto"/>
        </w:rPr>
        <w:t>Participant (i.e., Trust Beneficiary) Services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20"/>
          <w:szCs w:val="20"/>
          <w:color w:val="auto"/>
        </w:rPr>
        <w:t>Dedicated Participant Website</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20"/>
          <w:szCs w:val="20"/>
          <w:color w:val="auto"/>
        </w:rPr>
        <w:t>Trained Participant Service Center Support</w:t>
      </w:r>
    </w:p>
    <w:p>
      <w:pPr>
        <w:ind w:left="560"/>
        <w:spacing w:after="0"/>
        <w:rPr>
          <w:sz w:val="20"/>
          <w:szCs w:val="20"/>
          <w:color w:val="auto"/>
        </w:rPr>
      </w:pPr>
      <w:r>
        <w:rPr>
          <w:rFonts w:ascii="Arial" w:cs="Arial" w:eastAsia="Arial" w:hAnsi="Arial"/>
          <w:sz w:val="20"/>
          <w:szCs w:val="20"/>
          <w:color w:val="auto"/>
        </w:rPr>
        <w:t>Participant Communications:</w:t>
      </w:r>
    </w:p>
    <w:p>
      <w:pPr>
        <w:spacing w:after="0" w:line="8" w:lineRule="exact"/>
        <w:rPr>
          <w:sz w:val="20"/>
          <w:szCs w:val="20"/>
          <w:color w:val="auto"/>
        </w:rPr>
      </w:pPr>
    </w:p>
    <w:p>
      <w:pPr>
        <w:ind w:left="1300" w:hanging="320"/>
        <w:spacing w:after="0"/>
        <w:tabs>
          <w:tab w:leader="none" w:pos="1300" w:val="left"/>
        </w:tabs>
        <w:numPr>
          <w:ilvl w:val="0"/>
          <w:numId w:val="109"/>
        </w:numPr>
        <w:rPr>
          <w:rFonts w:ascii="Courier New" w:cs="Courier New" w:eastAsia="Courier New" w:hAnsi="Courier New"/>
          <w:sz w:val="20"/>
          <w:szCs w:val="20"/>
          <w:color w:val="auto"/>
        </w:rPr>
      </w:pPr>
      <w:r>
        <w:rPr>
          <w:rFonts w:ascii="Arial" w:cs="Arial" w:eastAsia="Arial" w:hAnsi="Arial"/>
          <w:sz w:val="20"/>
          <w:szCs w:val="20"/>
          <w:color w:val="auto"/>
        </w:rPr>
        <w:t>Annual Enrollment Campaign</w:t>
      </w:r>
    </w:p>
    <w:p>
      <w:pPr>
        <w:ind w:left="560" w:right="2060" w:firstLine="420"/>
        <w:spacing w:after="0" w:line="244" w:lineRule="auto"/>
        <w:tabs>
          <w:tab w:leader="none" w:pos="1303" w:val="left"/>
        </w:tabs>
        <w:numPr>
          <w:ilvl w:val="0"/>
          <w:numId w:val="109"/>
        </w:numPr>
        <w:rPr>
          <w:rFonts w:ascii="Courier New" w:cs="Courier New" w:eastAsia="Courier New" w:hAnsi="Courier New"/>
          <w:sz w:val="20"/>
          <w:szCs w:val="20"/>
          <w:color w:val="auto"/>
        </w:rPr>
      </w:pPr>
      <w:r>
        <w:rPr>
          <w:rFonts w:ascii="Arial" w:cs="Arial" w:eastAsia="Arial" w:hAnsi="Arial"/>
          <w:sz w:val="20"/>
          <w:szCs w:val="20"/>
          <w:color w:val="auto"/>
        </w:rPr>
        <w:t>Standard Operational Communications (e.g., fund and/or plan provision changes) Participant Statements (i.e., quarterly and on-demand)</w:t>
      </w:r>
    </w:p>
    <w:p>
      <w:pPr>
        <w:ind w:left="560"/>
        <w:spacing w:after="0"/>
        <w:rPr>
          <w:rFonts w:ascii="Courier New" w:cs="Courier New" w:eastAsia="Courier New" w:hAnsi="Courier New"/>
          <w:sz w:val="20"/>
          <w:szCs w:val="20"/>
          <w:color w:val="auto"/>
        </w:rPr>
      </w:pPr>
      <w:r>
        <w:rPr>
          <w:rFonts w:ascii="Arial" w:cs="Arial" w:eastAsia="Arial" w:hAnsi="Arial"/>
          <w:sz w:val="20"/>
          <w:szCs w:val="20"/>
          <w:color w:val="auto"/>
        </w:rPr>
        <w:t>Participant Confirmations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Employer Services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20"/>
          <w:szCs w:val="20"/>
          <w:color w:val="auto"/>
        </w:rPr>
        <w:t>Client Service Support Team</w:t>
      </w:r>
    </w:p>
    <w:p>
      <w:pPr>
        <w:ind w:left="560"/>
        <w:spacing w:after="0"/>
        <w:rPr>
          <w:sz w:val="20"/>
          <w:szCs w:val="20"/>
          <w:color w:val="auto"/>
        </w:rPr>
      </w:pPr>
      <w:r>
        <w:rPr>
          <w:rFonts w:ascii="Arial" w:cs="Arial" w:eastAsia="Arial" w:hAnsi="Arial"/>
          <w:sz w:val="20"/>
          <w:szCs w:val="20"/>
          <w:color w:val="auto"/>
        </w:rPr>
        <w:t>Employer Online Access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20"/>
          <w:szCs w:val="20"/>
          <w:color w:val="auto"/>
        </w:rPr>
        <w:t>Plan and Investment Reviews</w:t>
      </w:r>
    </w:p>
    <w:p>
      <w:pPr>
        <w:ind w:left="560"/>
        <w:spacing w:after="0"/>
        <w:rPr>
          <w:sz w:val="20"/>
          <w:szCs w:val="20"/>
          <w:color w:val="auto"/>
        </w:rPr>
      </w:pPr>
      <w:r>
        <w:rPr>
          <w:rFonts w:ascii="Arial" w:cs="Arial" w:eastAsia="Arial" w:hAnsi="Arial"/>
          <w:sz w:val="20"/>
          <w:szCs w:val="20"/>
          <w:color w:val="auto"/>
        </w:rPr>
        <w:t>On-Demand Standard Report Generation</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20"/>
          <w:szCs w:val="20"/>
          <w:color w:val="auto"/>
        </w:rPr>
        <w:t>Electronic Communication Methods Using Industry Standard Security</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20"/>
          <w:szCs w:val="20"/>
          <w:color w:val="auto"/>
        </w:rPr>
        <w:t>Access to Industry Information and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40575" cy="179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7140575" cy="179705"/>
                    </a:xfrm>
                    <a:prstGeom prst="rect">
                      <a:avLst/>
                    </a:prstGeom>
                    <a:noFill/>
                  </pic:spPr>
                </pic:pic>
              </a:graphicData>
            </a:graphic>
          </wp:anchor>
        </w:drawing>
      </w:r>
    </w:p>
    <w:p>
      <w:pPr>
        <w:spacing w:after="0" w:line="257"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FFFFFF"/>
        </w:rPr>
        <w:t>SERVICES SPECIFIC TO YOUR PLAN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Ongoing Recordkeeping Services</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20"/>
          <w:szCs w:val="20"/>
          <w:color w:val="auto"/>
        </w:rPr>
        <w:t>Class Year Recordkeeping Services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20"/>
          <w:szCs w:val="20"/>
          <w:color w:val="auto"/>
        </w:rPr>
        <w:t>Vesting Calculation</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20"/>
          <w:szCs w:val="20"/>
          <w:color w:val="auto"/>
        </w:rPr>
        <w:t>Forfeiture Processing</w:t>
      </w:r>
    </w:p>
    <w:p>
      <w:pPr>
        <w:ind w:left="560"/>
        <w:spacing w:after="0"/>
        <w:rPr>
          <w:sz w:val="20"/>
          <w:szCs w:val="20"/>
          <w:color w:val="auto"/>
        </w:rPr>
      </w:pPr>
      <w:r>
        <w:rPr>
          <w:rFonts w:ascii="Arial" w:cs="Arial" w:eastAsia="Arial" w:hAnsi="Arial"/>
          <w:sz w:val="20"/>
          <w:szCs w:val="20"/>
          <w:color w:val="auto"/>
        </w:rPr>
        <w:t>Disbursement, Payment and Tax Withholding/Reporting Services</w:t>
      </w:r>
    </w:p>
    <w:p>
      <w:pPr>
        <w:spacing w:after="0" w:line="8" w:lineRule="exact"/>
        <w:rPr>
          <w:sz w:val="20"/>
          <w:szCs w:val="20"/>
          <w:color w:val="auto"/>
        </w:rPr>
      </w:pPr>
    </w:p>
    <w:p>
      <w:pPr>
        <w:ind w:left="1300" w:hanging="320"/>
        <w:spacing w:after="0"/>
        <w:tabs>
          <w:tab w:leader="none" w:pos="1300" w:val="left"/>
        </w:tabs>
        <w:numPr>
          <w:ilvl w:val="0"/>
          <w:numId w:val="110"/>
        </w:numPr>
        <w:rPr>
          <w:rFonts w:ascii="Courier New" w:cs="Courier New" w:eastAsia="Courier New" w:hAnsi="Courier New"/>
          <w:sz w:val="20"/>
          <w:szCs w:val="20"/>
          <w:color w:val="auto"/>
        </w:rPr>
      </w:pPr>
      <w:r>
        <w:rPr>
          <w:rFonts w:ascii="Arial" w:cs="Arial" w:eastAsia="Arial" w:hAnsi="Arial"/>
          <w:sz w:val="20"/>
          <w:szCs w:val="20"/>
          <w:color w:val="auto"/>
        </w:rPr>
        <w:t>Participant or Alternate Payee Distribution Check Issuance</w:t>
      </w:r>
    </w:p>
    <w:p>
      <w:pPr>
        <w:spacing w:after="0" w:line="200" w:lineRule="exact"/>
        <w:rPr>
          <w:rFonts w:ascii="Courier New" w:cs="Courier New" w:eastAsia="Courier New" w:hAnsi="Courier New"/>
          <w:sz w:val="20"/>
          <w:szCs w:val="20"/>
          <w:color w:val="auto"/>
        </w:rPr>
      </w:pPr>
    </w:p>
    <w:p>
      <w:pPr>
        <w:spacing w:after="0" w:line="200" w:lineRule="exact"/>
        <w:rPr>
          <w:rFonts w:ascii="Courier New" w:cs="Courier New" w:eastAsia="Courier New" w:hAnsi="Courier New"/>
          <w:sz w:val="20"/>
          <w:szCs w:val="20"/>
          <w:color w:val="auto"/>
        </w:rPr>
      </w:pPr>
    </w:p>
    <w:p>
      <w:pPr>
        <w:spacing w:after="0" w:line="201" w:lineRule="exact"/>
        <w:rPr>
          <w:rFonts w:ascii="Courier New" w:cs="Courier New" w:eastAsia="Courier New" w:hAnsi="Courier New"/>
          <w:sz w:val="20"/>
          <w:szCs w:val="20"/>
          <w:color w:val="auto"/>
        </w:rPr>
      </w:pPr>
    </w:p>
    <w:p>
      <w:pPr>
        <w:ind w:left="5520"/>
        <w:spacing w:after="0"/>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0480"/>
          </w:cols>
          <w:pgMar w:left="320" w:top="1421" w:right="109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HOST HOTELS &amp; RESORTS 154928 ASA 11.05.25</w:t>
      </w:r>
    </w:p>
    <w:p>
      <w:pPr>
        <w:sectPr>
          <w:pgSz w:w="11900" w:h="16838" w:orient="portrait"/>
          <w:cols w:equalWidth="0" w:num="1">
            <w:col w:w="10480"/>
          </w:cols>
          <w:pgMar w:left="320" w:top="1421" w:right="1099" w:bottom="1440" w:gutter="0" w:footer="0" w:header="0"/>
          <w:type w:val="continuous"/>
        </w:sectPr>
      </w:pPr>
    </w:p>
    <w:bookmarkStart w:id="154" w:name="page155"/>
    <w:bookmarkEnd w:id="154"/>
    <w:p>
      <w:pPr>
        <w:ind w:left="1300" w:hanging="320"/>
        <w:spacing w:after="0"/>
        <w:tabs>
          <w:tab w:leader="none" w:pos="1300" w:val="left"/>
        </w:tabs>
        <w:numPr>
          <w:ilvl w:val="0"/>
          <w:numId w:val="111"/>
        </w:numPr>
        <w:rPr>
          <w:rFonts w:ascii="Courier New" w:cs="Courier New" w:eastAsia="Courier New" w:hAnsi="Courier New"/>
          <w:sz w:val="20"/>
          <w:szCs w:val="20"/>
          <w:color w:val="auto"/>
        </w:rPr>
      </w:pPr>
      <w:r>
        <w:rPr>
          <w:rFonts w:ascii="Arial" w:cs="Arial" w:eastAsia="Arial" w:hAnsi="Arial"/>
          <w:sz w:val="20"/>
          <w:szCs w:val="20"/>
          <w:color w:val="auto"/>
        </w:rPr>
        <w:t>Tax Withholding and Reporting (per Agreement)</w:t>
      </w:r>
    </w:p>
    <w:p>
      <w:pPr>
        <w:spacing w:after="0" w:line="26" w:lineRule="exact"/>
        <w:rPr>
          <w:rFonts w:ascii="Courier New" w:cs="Courier New" w:eastAsia="Courier New" w:hAnsi="Courier New"/>
          <w:sz w:val="20"/>
          <w:szCs w:val="20"/>
          <w:color w:val="auto"/>
        </w:rPr>
      </w:pPr>
    </w:p>
    <w:p>
      <w:pPr>
        <w:spacing w:after="0"/>
        <w:rPr>
          <w:rFonts w:ascii="Courier New" w:cs="Courier New" w:eastAsia="Courier New" w:hAnsi="Courier New"/>
          <w:sz w:val="20"/>
          <w:szCs w:val="20"/>
          <w:color w:val="auto"/>
        </w:rPr>
      </w:pPr>
      <w:r>
        <w:rPr>
          <w:rFonts w:ascii="Arial" w:cs="Arial" w:eastAsia="Arial" w:hAnsi="Arial"/>
          <w:sz w:val="20"/>
          <w:szCs w:val="20"/>
          <w:b w:val="1"/>
          <w:bCs w:val="1"/>
          <w:color w:val="auto"/>
        </w:rPr>
        <w:t>Investment Support</w:t>
      </w:r>
    </w:p>
    <w:p>
      <w:pPr>
        <w:ind w:left="560" w:right="6079"/>
        <w:spacing w:after="0" w:line="246" w:lineRule="auto"/>
        <w:rPr>
          <w:rFonts w:ascii="Courier New" w:cs="Courier New" w:eastAsia="Courier New" w:hAnsi="Courier New"/>
          <w:sz w:val="20"/>
          <w:szCs w:val="20"/>
          <w:color w:val="auto"/>
        </w:rPr>
      </w:pPr>
      <w:r>
        <w:rPr>
          <w:rFonts w:ascii="Arial" w:cs="Arial" w:eastAsia="Arial" w:hAnsi="Arial"/>
          <w:sz w:val="20"/>
          <w:szCs w:val="20"/>
          <w:color w:val="auto"/>
        </w:rPr>
        <w:t>Omnibus Trade and Settlement Support Automatic Rebalance service</w:t>
      </w:r>
    </w:p>
    <w:p>
      <w:pPr>
        <w:spacing w:after="0" w:line="1" w:lineRule="exact"/>
        <w:rPr>
          <w:rFonts w:ascii="Courier New" w:cs="Courier New" w:eastAsia="Courier New" w:hAnsi="Courier New"/>
          <w:sz w:val="20"/>
          <w:szCs w:val="20"/>
          <w:color w:val="auto"/>
        </w:rPr>
      </w:pPr>
    </w:p>
    <w:p>
      <w:pPr>
        <w:ind w:left="560" w:right="6059" w:hanging="553"/>
        <w:spacing w:after="0" w:line="253" w:lineRule="auto"/>
        <w:rPr>
          <w:rFonts w:ascii="Courier New" w:cs="Courier New" w:eastAsia="Courier New" w:hAnsi="Courier New"/>
          <w:sz w:val="20"/>
          <w:szCs w:val="20"/>
          <w:color w:val="auto"/>
        </w:rPr>
      </w:pPr>
      <w:r>
        <w:rPr>
          <w:rFonts w:ascii="Arial" w:cs="Arial" w:eastAsia="Arial" w:hAnsi="Arial"/>
          <w:sz w:val="20"/>
          <w:szCs w:val="20"/>
          <w:b w:val="1"/>
          <w:bCs w:val="1"/>
          <w:color w:val="auto"/>
        </w:rPr>
        <w:t xml:space="preserve">Participant (i.e., Trust Beneficiary) Services </w:t>
      </w:r>
      <w:r>
        <w:rPr>
          <w:rFonts w:ascii="Arial" w:cs="Arial" w:eastAsia="Arial" w:hAnsi="Arial"/>
          <w:sz w:val="20"/>
          <w:szCs w:val="20"/>
          <w:color w:val="auto"/>
        </w:rPr>
        <w:t>Paper Processing</w:t>
      </w:r>
    </w:p>
    <w:p>
      <w:pPr>
        <w:spacing w:after="0" w:line="1" w:lineRule="exact"/>
        <w:rPr>
          <w:rFonts w:ascii="Courier New" w:cs="Courier New" w:eastAsia="Courier New" w:hAnsi="Courier New"/>
          <w:sz w:val="20"/>
          <w:szCs w:val="20"/>
          <w:color w:val="auto"/>
        </w:rPr>
      </w:pPr>
    </w:p>
    <w:p>
      <w:pPr>
        <w:ind w:left="560"/>
        <w:spacing w:after="0"/>
        <w:rPr>
          <w:rFonts w:ascii="Courier New" w:cs="Courier New" w:eastAsia="Courier New" w:hAnsi="Courier New"/>
          <w:sz w:val="20"/>
          <w:szCs w:val="20"/>
          <w:color w:val="auto"/>
        </w:rPr>
      </w:pPr>
      <w:r>
        <w:rPr>
          <w:rFonts w:ascii="Arial" w:cs="Arial" w:eastAsia="Arial" w:hAnsi="Arial"/>
          <w:sz w:val="20"/>
          <w:szCs w:val="20"/>
          <w:color w:val="auto"/>
        </w:rPr>
        <w:t>Paper Mailings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40575" cy="179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7140575" cy="179705"/>
                    </a:xfrm>
                    <a:prstGeom prst="rect">
                      <a:avLst/>
                    </a:prstGeom>
                    <a:noFill/>
                  </pic:spPr>
                </pic:pic>
              </a:graphicData>
            </a:graphic>
          </wp:anchor>
        </w:drawing>
      </w:r>
    </w:p>
    <w:p>
      <w:pPr>
        <w:spacing w:after="0" w:line="257" w:lineRule="exact"/>
        <w:rPr>
          <w:sz w:val="20"/>
          <w:szCs w:val="20"/>
          <w:color w:val="auto"/>
        </w:rPr>
      </w:pPr>
    </w:p>
    <w:p>
      <w:pPr>
        <w:ind w:left="1900"/>
        <w:spacing w:after="0"/>
        <w:rPr>
          <w:sz w:val="20"/>
          <w:szCs w:val="20"/>
          <w:color w:val="auto"/>
        </w:rPr>
      </w:pPr>
      <w:r>
        <w:rPr>
          <w:rFonts w:ascii="Arial" w:cs="Arial" w:eastAsia="Arial" w:hAnsi="Arial"/>
          <w:sz w:val="19"/>
          <w:szCs w:val="19"/>
          <w:b w:val="1"/>
          <w:bCs w:val="1"/>
          <w:color w:val="FFFFFF"/>
        </w:rPr>
        <w:t>SERVICES PROVIDED UPON REQUEST (SUBJECT TO ADDITIONAL CHARGES)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20"/>
          <w:szCs w:val="20"/>
          <w:color w:val="auto"/>
        </w:rPr>
        <w:t>Custom Reporting</w:t>
      </w:r>
    </w:p>
    <w:p>
      <w:pPr>
        <w:spacing w:after="0" w:line="18" w:lineRule="exact"/>
        <w:rPr>
          <w:sz w:val="20"/>
          <w:szCs w:val="20"/>
          <w:color w:val="auto"/>
        </w:rPr>
      </w:pPr>
    </w:p>
    <w:p>
      <w:pPr>
        <w:ind w:left="560"/>
        <w:spacing w:after="0"/>
        <w:rPr>
          <w:sz w:val="20"/>
          <w:szCs w:val="20"/>
          <w:color w:val="auto"/>
        </w:rPr>
      </w:pPr>
      <w:r>
        <w:rPr>
          <w:rFonts w:ascii="Arial" w:cs="Arial" w:eastAsia="Arial" w:hAnsi="Arial"/>
          <w:sz w:val="20"/>
          <w:szCs w:val="20"/>
          <w:color w:val="auto"/>
        </w:rPr>
        <w:t>Corrective Processing for Employer Errors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20"/>
          <w:szCs w:val="20"/>
          <w:color w:val="auto"/>
        </w:rPr>
        <w:t>Additional Conversion Support (e.g., Mergers and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SCHEDULE B</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0139"/>
          </w:cols>
          <w:pgMar w:left="320" w:top="1414" w:right="1440" w:bottom="1440" w:gutter="0" w:footer="0" w:header="0"/>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HOST HOTELS &amp; RESORTS 154928 ASA 11.05.25</w:t>
      </w:r>
    </w:p>
    <w:p>
      <w:pPr>
        <w:sectPr>
          <w:pgSz w:w="11900" w:h="16838" w:orient="portrait"/>
          <w:cols w:equalWidth="0" w:num="1">
            <w:col w:w="10139"/>
          </w:cols>
          <w:pgMar w:left="320" w:top="1414" w:right="1440" w:bottom="1440" w:gutter="0" w:footer="0" w:header="0"/>
          <w:type w:val="continuous"/>
        </w:sectPr>
      </w:pPr>
    </w:p>
    <w:bookmarkStart w:id="155" w:name="page156"/>
    <w:bookmarkEnd w:id="155"/>
    <w:p>
      <w:pPr>
        <w:jc w:val="center"/>
        <w:ind w:right="20"/>
        <w:spacing w:after="0"/>
        <w:rPr>
          <w:sz w:val="20"/>
          <w:szCs w:val="20"/>
          <w:color w:val="auto"/>
        </w:rPr>
      </w:pPr>
      <w:r>
        <w:rPr>
          <w:rFonts w:ascii="Arial" w:cs="Arial" w:eastAsia="Arial" w:hAnsi="Arial"/>
          <w:sz w:val="22"/>
          <w:szCs w:val="22"/>
          <w:b w:val="1"/>
          <w:bCs w:val="1"/>
          <w:color w:val="auto"/>
        </w:rPr>
        <w:t>PLAN INVESTMENT OPTIONS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The Authorized Party hereby directs that the following Trust investment options are to be made available under the Plan and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Trust and the Trust is to be invested in accordance with Trust Beneficiary elections:</w:t>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200" w:type="dxa"/>
            <w:vAlign w:val="bottom"/>
            <w:tcBorders>
              <w:top w:val="single" w:sz="8" w:color="auto"/>
              <w:left w:val="single" w:sz="8" w:color="auto"/>
              <w:bottom w:val="single" w:sz="8" w:color="auto"/>
              <w:right w:val="single" w:sz="8" w:color="auto"/>
            </w:tcBorders>
            <w:shd w:val="clear" w:color="auto" w:fill="1F497D"/>
          </w:tcPr>
          <w:p>
            <w:pPr>
              <w:ind w:left="2560"/>
              <w:spacing w:after="0"/>
              <w:rPr>
                <w:sz w:val="20"/>
                <w:szCs w:val="20"/>
                <w:color w:val="auto"/>
              </w:rPr>
            </w:pPr>
            <w:r>
              <w:rPr>
                <w:rFonts w:ascii="Arial" w:cs="Arial" w:eastAsia="Arial" w:hAnsi="Arial"/>
                <w:sz w:val="20"/>
                <w:szCs w:val="20"/>
                <w:b w:val="1"/>
                <w:bCs w:val="1"/>
                <w:color w:val="FFFFFF"/>
              </w:rPr>
              <w:t>INVESTMENT OPTION</w:t>
            </w:r>
          </w:p>
        </w:tc>
        <w:tc>
          <w:tcPr>
            <w:tcW w:w="4060" w:type="dxa"/>
            <w:vAlign w:val="bottom"/>
            <w:tcBorders>
              <w:top w:val="single" w:sz="8" w:color="auto"/>
              <w:bottom w:val="single" w:sz="8" w:color="auto"/>
              <w:right w:val="single" w:sz="8" w:color="auto"/>
            </w:tcBorders>
            <w:shd w:val="clear" w:color="auto" w:fill="1F497D"/>
          </w:tcPr>
          <w:p>
            <w:pPr>
              <w:ind w:left="1640"/>
              <w:spacing w:after="0"/>
              <w:rPr>
                <w:sz w:val="20"/>
                <w:szCs w:val="20"/>
                <w:color w:val="auto"/>
              </w:rPr>
            </w:pPr>
            <w:r>
              <w:rPr>
                <w:rFonts w:ascii="Arial" w:cs="Arial" w:eastAsia="Arial" w:hAnsi="Arial"/>
                <w:sz w:val="20"/>
                <w:szCs w:val="20"/>
                <w:b w:val="1"/>
                <w:bCs w:val="1"/>
                <w:color w:val="FFFFFF"/>
              </w:rPr>
              <w:t>TICKER</w:t>
            </w:r>
          </w:p>
        </w:tc>
      </w:tr>
      <w:tr>
        <w:trPr>
          <w:trHeight w:val="250"/>
        </w:trPr>
        <w:tc>
          <w:tcPr>
            <w:tcW w:w="7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BlackRock 20/80 Target Allocation Instl</w:t>
            </w:r>
          </w:p>
        </w:tc>
        <w:tc>
          <w:tcPr>
            <w:tcW w:w="4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BICPX</w:t>
            </w:r>
          </w:p>
        </w:tc>
      </w:tr>
      <w:tr>
        <w:trPr>
          <w:trHeight w:val="250"/>
        </w:trPr>
        <w:tc>
          <w:tcPr>
            <w:tcW w:w="7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BlackRock 40/60 Target Allocation Instl</w:t>
            </w:r>
          </w:p>
        </w:tc>
        <w:tc>
          <w:tcPr>
            <w:tcW w:w="4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BIMPX</w:t>
            </w:r>
          </w:p>
        </w:tc>
      </w:tr>
      <w:tr>
        <w:trPr>
          <w:trHeight w:val="250"/>
        </w:trPr>
        <w:tc>
          <w:tcPr>
            <w:tcW w:w="7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BlackRock 60/40 Target Allocation Instl</w:t>
            </w:r>
          </w:p>
        </w:tc>
        <w:tc>
          <w:tcPr>
            <w:tcW w:w="4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BIGPX</w:t>
            </w:r>
          </w:p>
        </w:tc>
      </w:tr>
      <w:tr>
        <w:trPr>
          <w:trHeight w:val="250"/>
        </w:trPr>
        <w:tc>
          <w:tcPr>
            <w:tcW w:w="7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BlackRock 80/20 Target Allocation Instl</w:t>
            </w:r>
          </w:p>
        </w:tc>
        <w:tc>
          <w:tcPr>
            <w:tcW w:w="4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BIAPX</w:t>
            </w:r>
          </w:p>
        </w:tc>
      </w:tr>
      <w:tr>
        <w:trPr>
          <w:trHeight w:val="250"/>
        </w:trPr>
        <w:tc>
          <w:tcPr>
            <w:tcW w:w="7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Dodge &amp; Cox Income I</w:t>
            </w:r>
          </w:p>
        </w:tc>
        <w:tc>
          <w:tcPr>
            <w:tcW w:w="4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DODIX</w:t>
            </w:r>
          </w:p>
        </w:tc>
      </w:tr>
      <w:tr>
        <w:trPr>
          <w:trHeight w:val="250"/>
        </w:trPr>
        <w:tc>
          <w:tcPr>
            <w:tcW w:w="7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Hartford International Opportunities R6</w:t>
            </w:r>
          </w:p>
        </w:tc>
        <w:tc>
          <w:tcPr>
            <w:tcW w:w="4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IHOVX</w:t>
            </w:r>
          </w:p>
        </w:tc>
      </w:tr>
      <w:tr>
        <w:trPr>
          <w:trHeight w:val="250"/>
        </w:trPr>
        <w:tc>
          <w:tcPr>
            <w:tcW w:w="7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JPMorgan Equity Income R6</w:t>
            </w:r>
          </w:p>
        </w:tc>
        <w:tc>
          <w:tcPr>
            <w:tcW w:w="4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OIEJX</w:t>
            </w:r>
          </w:p>
        </w:tc>
      </w:tr>
      <w:tr>
        <w:trPr>
          <w:trHeight w:val="250"/>
        </w:trPr>
        <w:tc>
          <w:tcPr>
            <w:tcW w:w="7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JPMorgan Large Cap Growth R6</w:t>
            </w:r>
          </w:p>
        </w:tc>
        <w:tc>
          <w:tcPr>
            <w:tcW w:w="4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JLGMX</w:t>
            </w:r>
          </w:p>
        </w:tc>
      </w:tr>
      <w:tr>
        <w:trPr>
          <w:trHeight w:val="250"/>
        </w:trPr>
        <w:tc>
          <w:tcPr>
            <w:tcW w:w="7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MFS International Growth R6</w:t>
            </w:r>
          </w:p>
        </w:tc>
        <w:tc>
          <w:tcPr>
            <w:tcW w:w="4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MGRDX</w:t>
            </w:r>
          </w:p>
        </w:tc>
      </w:tr>
      <w:tr>
        <w:trPr>
          <w:trHeight w:val="250"/>
        </w:trPr>
        <w:tc>
          <w:tcPr>
            <w:tcW w:w="7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MFS Mid Cap Value R6</w:t>
            </w:r>
          </w:p>
        </w:tc>
        <w:tc>
          <w:tcPr>
            <w:tcW w:w="4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MVCKX</w:t>
            </w:r>
          </w:p>
        </w:tc>
      </w:tr>
      <w:tr>
        <w:trPr>
          <w:trHeight w:val="250"/>
        </w:trPr>
        <w:tc>
          <w:tcPr>
            <w:tcW w:w="7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PIMCO All Asset Instl</w:t>
            </w:r>
          </w:p>
        </w:tc>
        <w:tc>
          <w:tcPr>
            <w:tcW w:w="4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PAAIX</w:t>
            </w:r>
          </w:p>
        </w:tc>
      </w:tr>
      <w:tr>
        <w:trPr>
          <w:trHeight w:val="250"/>
        </w:trPr>
        <w:tc>
          <w:tcPr>
            <w:tcW w:w="7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Principal Real Estate Securities Inst</w:t>
            </w:r>
          </w:p>
        </w:tc>
        <w:tc>
          <w:tcPr>
            <w:tcW w:w="4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PIREX</w:t>
            </w:r>
          </w:p>
        </w:tc>
      </w:tr>
      <w:tr>
        <w:trPr>
          <w:trHeight w:val="250"/>
        </w:trPr>
        <w:tc>
          <w:tcPr>
            <w:tcW w:w="7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Principal SmallCap Value II R6</w:t>
            </w:r>
          </w:p>
        </w:tc>
        <w:tc>
          <w:tcPr>
            <w:tcW w:w="4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PSMVX</w:t>
            </w:r>
          </w:p>
        </w:tc>
      </w:tr>
      <w:tr>
        <w:trPr>
          <w:trHeight w:val="250"/>
        </w:trPr>
        <w:tc>
          <w:tcPr>
            <w:tcW w:w="7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 Rowe Price Balanced I</w:t>
            </w:r>
          </w:p>
        </w:tc>
        <w:tc>
          <w:tcPr>
            <w:tcW w:w="4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RBAIX</w:t>
            </w:r>
          </w:p>
        </w:tc>
      </w:tr>
      <w:tr>
        <w:trPr>
          <w:trHeight w:val="250"/>
        </w:trPr>
        <w:tc>
          <w:tcPr>
            <w:tcW w:w="7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 Rowe Price Equity Index 500 I</w:t>
            </w:r>
          </w:p>
        </w:tc>
        <w:tc>
          <w:tcPr>
            <w:tcW w:w="4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PRUIX</w:t>
            </w:r>
          </w:p>
        </w:tc>
      </w:tr>
      <w:tr>
        <w:trPr>
          <w:trHeight w:val="250"/>
        </w:trPr>
        <w:tc>
          <w:tcPr>
            <w:tcW w:w="7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 Rowe Price Integrated US Sm Gr Eq I</w:t>
            </w:r>
          </w:p>
        </w:tc>
        <w:tc>
          <w:tcPr>
            <w:tcW w:w="4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TQAIX</w:t>
            </w:r>
          </w:p>
        </w:tc>
      </w:tr>
      <w:tr>
        <w:trPr>
          <w:trHeight w:val="250"/>
        </w:trPr>
        <w:tc>
          <w:tcPr>
            <w:tcW w:w="7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 Rowe Price Mid-Cap Growth I</w:t>
            </w:r>
          </w:p>
        </w:tc>
        <w:tc>
          <w:tcPr>
            <w:tcW w:w="4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RPTIX</w:t>
            </w:r>
          </w:p>
        </w:tc>
      </w:tr>
      <w:tr>
        <w:trPr>
          <w:trHeight w:val="250"/>
        </w:trPr>
        <w:tc>
          <w:tcPr>
            <w:tcW w:w="7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 Rowe Price Spectrum Income</w:t>
            </w:r>
          </w:p>
        </w:tc>
        <w:tc>
          <w:tcPr>
            <w:tcW w:w="4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RPSIX</w:t>
            </w:r>
          </w:p>
        </w:tc>
      </w:tr>
      <w:tr>
        <w:trPr>
          <w:trHeight w:val="250"/>
        </w:trPr>
        <w:tc>
          <w:tcPr>
            <w:tcW w:w="7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Vanguard Extended Market Index Admiral</w:t>
            </w:r>
          </w:p>
        </w:tc>
        <w:tc>
          <w:tcPr>
            <w:tcW w:w="4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VEXAX</w:t>
            </w:r>
          </w:p>
        </w:tc>
      </w:tr>
      <w:tr>
        <w:trPr>
          <w:trHeight w:val="250"/>
        </w:trPr>
        <w:tc>
          <w:tcPr>
            <w:tcW w:w="7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Vanguard Federal Money Market Investor</w:t>
            </w:r>
          </w:p>
        </w:tc>
        <w:tc>
          <w:tcPr>
            <w:tcW w:w="4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VMFXX</w:t>
            </w:r>
          </w:p>
        </w:tc>
      </w:tr>
      <w:tr>
        <w:trPr>
          <w:trHeight w:val="250"/>
        </w:trPr>
        <w:tc>
          <w:tcPr>
            <w:tcW w:w="7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Vanguard Total Intl Stock Index Admiral</w:t>
            </w:r>
          </w:p>
        </w:tc>
        <w:tc>
          <w:tcPr>
            <w:tcW w:w="4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VTIAX</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Any account in the Trust not subject to Trust Beneficiary direction shall be invested as follows:</w:t>
      </w: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960" w:type="dxa"/>
            <w:vAlign w:val="bottom"/>
            <w:tcBorders>
              <w:top w:val="single" w:sz="8" w:color="auto"/>
              <w:left w:val="single" w:sz="8" w:color="auto"/>
              <w:bottom w:val="single" w:sz="8" w:color="auto"/>
              <w:right w:val="single" w:sz="8" w:color="auto"/>
            </w:tcBorders>
            <w:shd w:val="clear" w:color="auto" w:fill="1F497D"/>
          </w:tcPr>
          <w:p>
            <w:pPr>
              <w:ind w:left="1480"/>
              <w:spacing w:after="0"/>
              <w:rPr>
                <w:sz w:val="20"/>
                <w:szCs w:val="20"/>
                <w:color w:val="auto"/>
              </w:rPr>
            </w:pPr>
            <w:r>
              <w:rPr>
                <w:rFonts w:ascii="Arial" w:cs="Arial" w:eastAsia="Arial" w:hAnsi="Arial"/>
                <w:sz w:val="20"/>
                <w:szCs w:val="20"/>
                <w:b w:val="1"/>
                <w:bCs w:val="1"/>
                <w:color w:val="FFFFFF"/>
              </w:rPr>
              <w:t>ACCOUNT</w:t>
            </w:r>
          </w:p>
        </w:tc>
        <w:tc>
          <w:tcPr>
            <w:tcW w:w="4640" w:type="dxa"/>
            <w:vAlign w:val="bottom"/>
            <w:tcBorders>
              <w:top w:val="single" w:sz="8" w:color="auto"/>
              <w:bottom w:val="single" w:sz="8" w:color="auto"/>
              <w:right w:val="single" w:sz="8" w:color="auto"/>
            </w:tcBorders>
            <w:shd w:val="clear" w:color="auto" w:fill="1F497D"/>
          </w:tcPr>
          <w:p>
            <w:pPr>
              <w:ind w:left="1260"/>
              <w:spacing w:after="0"/>
              <w:rPr>
                <w:sz w:val="20"/>
                <w:szCs w:val="20"/>
                <w:color w:val="auto"/>
              </w:rPr>
            </w:pPr>
            <w:r>
              <w:rPr>
                <w:rFonts w:ascii="Arial" w:cs="Arial" w:eastAsia="Arial" w:hAnsi="Arial"/>
                <w:sz w:val="20"/>
                <w:szCs w:val="20"/>
                <w:b w:val="1"/>
                <w:bCs w:val="1"/>
                <w:color w:val="FFFFFF"/>
              </w:rPr>
              <w:t>INVESTMENT OPTION</w:t>
            </w:r>
          </w:p>
        </w:tc>
        <w:tc>
          <w:tcPr>
            <w:tcW w:w="2660" w:type="dxa"/>
            <w:vAlign w:val="bottom"/>
            <w:tcBorders>
              <w:top w:val="single" w:sz="8" w:color="auto"/>
              <w:bottom w:val="single" w:sz="8" w:color="auto"/>
              <w:right w:val="single" w:sz="8" w:color="auto"/>
            </w:tcBorders>
            <w:shd w:val="clear" w:color="auto" w:fill="1F497D"/>
          </w:tcPr>
          <w:p>
            <w:pPr>
              <w:ind w:left="940"/>
              <w:spacing w:after="0"/>
              <w:rPr>
                <w:sz w:val="20"/>
                <w:szCs w:val="20"/>
                <w:color w:val="auto"/>
              </w:rPr>
            </w:pPr>
            <w:r>
              <w:rPr>
                <w:rFonts w:ascii="Arial" w:cs="Arial" w:eastAsia="Arial" w:hAnsi="Arial"/>
                <w:sz w:val="20"/>
                <w:szCs w:val="20"/>
                <w:b w:val="1"/>
                <w:bCs w:val="1"/>
                <w:color w:val="FFFFFF"/>
              </w:rPr>
              <w:t>TICKER</w:t>
            </w:r>
          </w:p>
        </w:tc>
      </w:tr>
      <w:tr>
        <w:trPr>
          <w:trHeight w:val="250"/>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All</w:t>
            </w:r>
          </w:p>
        </w:tc>
        <w:tc>
          <w:tcPr>
            <w:tcW w:w="4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Vanguard federal Money Market Investor</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VMFXX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60"/>
          </w:cols>
          <w:pgMar w:left="320" w:top="1421" w:right="31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HOST HOTELS &amp; RESORTS 154928 ASA 11.05.25</w:t>
      </w:r>
    </w:p>
    <w:p>
      <w:pPr>
        <w:sectPr>
          <w:pgSz w:w="11900" w:h="16838" w:orient="portrait"/>
          <w:cols w:equalWidth="0" w:num="1">
            <w:col w:w="11260"/>
          </w:cols>
          <w:pgMar w:left="320" w:top="1421" w:right="319" w:bottom="1440" w:gutter="0" w:footer="0" w:header="0"/>
          <w:type w:val="continuous"/>
        </w:sectPr>
      </w:pPr>
    </w:p>
    <w:bookmarkStart w:id="156" w:name="page157"/>
    <w:bookmarkEnd w:id="156"/>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C FEES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fees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184785</wp:posOffset>
            </wp:positionV>
            <wp:extent cx="4294505" cy="12084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4294505" cy="1208405"/>
                    </a:xfrm>
                    <a:prstGeom prst="rect">
                      <a:avLst/>
                    </a:prstGeom>
                    <a:noFill/>
                  </pic:spPr>
                </pic:pic>
              </a:graphicData>
            </a:graphic>
          </wp:anchor>
        </w:drawing>
      </w:r>
    </w:p>
    <w:p>
      <w:pPr>
        <w:spacing w:after="0" w:line="277" w:lineRule="exact"/>
        <w:rPr>
          <w:sz w:val="20"/>
          <w:szCs w:val="20"/>
          <w:color w:val="auto"/>
        </w:rPr>
      </w:pPr>
    </w:p>
    <w:p>
      <w:pPr>
        <w:ind w:left="3780"/>
        <w:spacing w:after="0"/>
        <w:rPr>
          <w:sz w:val="20"/>
          <w:szCs w:val="20"/>
          <w:color w:val="auto"/>
        </w:rPr>
      </w:pPr>
      <w:r>
        <w:rPr>
          <w:rFonts w:ascii="Arial" w:cs="Arial" w:eastAsia="Arial" w:hAnsi="Arial"/>
          <w:sz w:val="20"/>
          <w:szCs w:val="20"/>
          <w:color w:val="FFFFFF"/>
        </w:rPr>
        <w:t>Ongoing Annual Fees</w:t>
      </w:r>
    </w:p>
    <w:p>
      <w:pPr>
        <w:spacing w:after="0" w:line="31" w:lineRule="exact"/>
        <w:rPr>
          <w:sz w:val="20"/>
          <w:szCs w:val="20"/>
          <w:color w:val="auto"/>
        </w:rPr>
      </w:pPr>
    </w:p>
    <w:tbl>
      <w:tblPr>
        <w:tblLayout w:type="fixed"/>
        <w:tblInd w:w="1340" w:type="dxa"/>
        <w:tblCellMar>
          <w:top w:w="0" w:type="dxa"/>
          <w:left w:w="0" w:type="dxa"/>
          <w:bottom w:w="0" w:type="dxa"/>
          <w:right w:w="0" w:type="dxa"/>
        </w:tblCellMar>
      </w:tblPr>
      <w:tr>
        <w:trPr>
          <w:trHeight w:val="253"/>
        </w:trPr>
        <w:tc>
          <w:tcPr>
            <w:tcW w:w="35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Per Participant Recordkeeping Fee</w:t>
            </w:r>
          </w:p>
        </w:tc>
        <w:tc>
          <w:tcPr>
            <w:tcW w:w="3180" w:type="dxa"/>
            <w:vAlign w:val="bottom"/>
            <w:tcBorders>
              <w:top w:val="single" w:sz="8" w:color="auto"/>
              <w:bottom w:val="single" w:sz="8" w:color="auto"/>
            </w:tcBorders>
          </w:tcPr>
          <w:p>
            <w:pPr>
              <w:jc w:val="right"/>
              <w:ind w:right="2461"/>
              <w:spacing w:after="0"/>
              <w:rPr>
                <w:sz w:val="20"/>
                <w:szCs w:val="20"/>
                <w:color w:val="auto"/>
              </w:rPr>
            </w:pPr>
            <w:r>
              <w:rPr>
                <w:rFonts w:ascii="Arial" w:cs="Arial" w:eastAsia="Arial" w:hAnsi="Arial"/>
                <w:sz w:val="20"/>
                <w:szCs w:val="20"/>
                <w:color w:val="auto"/>
                <w:w w:val="98"/>
              </w:rPr>
              <w:t>$75.00</w:t>
            </w:r>
          </w:p>
        </w:tc>
      </w:tr>
      <w:tr>
        <w:trPr>
          <w:trHeight w:val="250"/>
        </w:trPr>
        <w:tc>
          <w:tcPr>
            <w:tcW w:w="6760" w:type="dxa"/>
            <w:vAlign w:val="bottom"/>
            <w:tcBorders>
              <w:bottom w:val="single" w:sz="8" w:color="auto"/>
            </w:tcBorders>
            <w:gridSpan w:val="2"/>
            <w:shd w:val="clear" w:color="auto" w:fill="1F497D"/>
          </w:tcPr>
          <w:p>
            <w:pPr>
              <w:ind w:left="2440"/>
              <w:spacing w:after="0"/>
              <w:rPr>
                <w:sz w:val="20"/>
                <w:szCs w:val="20"/>
                <w:color w:val="auto"/>
              </w:rPr>
            </w:pPr>
            <w:r>
              <w:rPr>
                <w:rFonts w:ascii="Arial" w:cs="Arial" w:eastAsia="Arial" w:hAnsi="Arial"/>
                <w:sz w:val="20"/>
                <w:szCs w:val="20"/>
                <w:color w:val="FFFFFF"/>
              </w:rPr>
              <w:t>Event-based Charges</w:t>
            </w:r>
          </w:p>
        </w:tc>
      </w:tr>
      <w:tr>
        <w:trPr>
          <w:trHeight w:val="250"/>
        </w:trPr>
        <w:tc>
          <w:tcPr>
            <w:tcW w:w="3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Distribution Services</w:t>
            </w:r>
          </w:p>
        </w:tc>
        <w:tc>
          <w:tcPr>
            <w:tcW w:w="318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Fee Waived</w:t>
            </w:r>
          </w:p>
        </w:tc>
      </w:tr>
      <w:tr>
        <w:trPr>
          <w:trHeight w:val="250"/>
        </w:trPr>
        <w:tc>
          <w:tcPr>
            <w:tcW w:w="3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Tax Withholding Services</w:t>
            </w:r>
          </w:p>
        </w:tc>
        <w:tc>
          <w:tcPr>
            <w:tcW w:w="318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Fee Waived</w:t>
            </w:r>
          </w:p>
        </w:tc>
      </w:tr>
    </w:tbl>
    <w:p>
      <w:pPr>
        <w:jc w:val="center"/>
        <w:ind w:right="1780"/>
        <w:spacing w:after="0"/>
        <w:rPr>
          <w:sz w:val="20"/>
          <w:szCs w:val="20"/>
          <w:color w:val="auto"/>
        </w:rPr>
      </w:pPr>
      <w:r>
        <w:rPr>
          <w:rFonts w:ascii="Arial" w:cs="Arial" w:eastAsia="Arial" w:hAnsi="Arial"/>
          <w:sz w:val="20"/>
          <w:szCs w:val="20"/>
          <w:color w:val="FFFFFF"/>
        </w:rPr>
        <w:t>Fee Guarantee Period</w:t>
      </w:r>
    </w:p>
    <w:p>
      <w:pPr>
        <w:spacing w:after="0" w:line="32" w:lineRule="exact"/>
        <w:rPr>
          <w:sz w:val="20"/>
          <w:szCs w:val="20"/>
          <w:color w:val="auto"/>
        </w:rPr>
      </w:pPr>
    </w:p>
    <w:p>
      <w:pPr>
        <w:ind w:left="2940"/>
        <w:spacing w:after="0"/>
        <w:rPr>
          <w:sz w:val="20"/>
          <w:szCs w:val="20"/>
          <w:color w:val="auto"/>
        </w:rPr>
      </w:pPr>
      <w:r>
        <w:rPr>
          <w:rFonts w:ascii="Arial" w:cs="Arial" w:eastAsia="Arial" w:hAnsi="Arial"/>
          <w:sz w:val="20"/>
          <w:szCs w:val="20"/>
          <w:color w:val="auto"/>
        </w:rPr>
        <w:t>December 1, 2025 – November 30, 2028</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General Conditions:</w:t>
      </w:r>
    </w:p>
    <w:p>
      <w:pPr>
        <w:spacing w:after="0" w:line="243" w:lineRule="exact"/>
        <w:rPr>
          <w:sz w:val="20"/>
          <w:szCs w:val="20"/>
          <w:color w:val="auto"/>
        </w:rPr>
      </w:pPr>
    </w:p>
    <w:p>
      <w:pPr>
        <w:ind w:left="660" w:hanging="328"/>
        <w:spacing w:after="0" w:line="285" w:lineRule="auto"/>
        <w:tabs>
          <w:tab w:leader="none" w:pos="648" w:val="left"/>
        </w:tabs>
        <w:numPr>
          <w:ilvl w:val="0"/>
          <w:numId w:val="112"/>
        </w:numPr>
        <w:rPr>
          <w:rFonts w:ascii="Times New Roman" w:cs="Times New Roman" w:eastAsia="Times New Roman" w:hAnsi="Times New Roman"/>
          <w:sz w:val="20"/>
          <w:szCs w:val="20"/>
          <w:color w:val="auto"/>
        </w:rPr>
      </w:pPr>
      <w:r>
        <w:rPr>
          <w:rFonts w:ascii="Arial" w:cs="Arial" w:eastAsia="Arial" w:hAnsi="Arial"/>
          <w:sz w:val="20"/>
          <w:szCs w:val="20"/>
          <w:color w:val="auto"/>
        </w:rPr>
        <w:t>Fees are based on services outlined on Schedule A. If services change, fees are subject to change. If participant counts change significantly, fees are subject to change.</w:t>
      </w:r>
    </w:p>
    <w:p>
      <w:pPr>
        <w:spacing w:after="0" w:line="181" w:lineRule="exact"/>
        <w:rPr>
          <w:rFonts w:ascii="Times New Roman" w:cs="Times New Roman" w:eastAsia="Times New Roman" w:hAnsi="Times New Roman"/>
          <w:sz w:val="20"/>
          <w:szCs w:val="20"/>
          <w:color w:val="auto"/>
        </w:rPr>
      </w:pPr>
    </w:p>
    <w:p>
      <w:pPr>
        <w:ind w:left="660" w:hanging="328"/>
        <w:spacing w:after="0" w:line="271" w:lineRule="auto"/>
        <w:tabs>
          <w:tab w:leader="none" w:pos="648" w:val="left"/>
        </w:tabs>
        <w:numPr>
          <w:ilvl w:val="0"/>
          <w:numId w:val="112"/>
        </w:numPr>
        <w:rPr>
          <w:rFonts w:ascii="Times New Roman" w:cs="Times New Roman" w:eastAsia="Times New Roman" w:hAnsi="Times New Roman"/>
          <w:sz w:val="20"/>
          <w:szCs w:val="20"/>
          <w:color w:val="auto"/>
        </w:rPr>
      </w:pPr>
      <w:r>
        <w:rPr>
          <w:rFonts w:ascii="Arial" w:cs="Arial" w:eastAsia="Arial" w:hAnsi="Arial"/>
          <w:sz w:val="20"/>
          <w:szCs w:val="20"/>
          <w:color w:val="auto"/>
        </w:rPr>
        <w:t>If recordkeeping services are terminated mid-year, ongoing charges will be prorated to reflect the number of calendar months that this Agreement is in effect during such year.</w:t>
      </w:r>
    </w:p>
    <w:p>
      <w:pPr>
        <w:spacing w:after="0" w:line="195" w:lineRule="exact"/>
        <w:rPr>
          <w:rFonts w:ascii="Times New Roman" w:cs="Times New Roman" w:eastAsia="Times New Roman" w:hAnsi="Times New Roman"/>
          <w:sz w:val="20"/>
          <w:szCs w:val="20"/>
          <w:color w:val="auto"/>
        </w:rPr>
      </w:pPr>
    </w:p>
    <w:p>
      <w:pPr>
        <w:jc w:val="both"/>
        <w:ind w:left="660" w:hanging="328"/>
        <w:spacing w:after="0" w:line="282" w:lineRule="auto"/>
        <w:tabs>
          <w:tab w:leader="none" w:pos="648" w:val="left"/>
        </w:tabs>
        <w:numPr>
          <w:ilvl w:val="0"/>
          <w:numId w:val="112"/>
        </w:numPr>
        <w:rPr>
          <w:rFonts w:ascii="Times New Roman" w:cs="Times New Roman" w:eastAsia="Times New Roman" w:hAnsi="Times New Roman"/>
          <w:sz w:val="19"/>
          <w:szCs w:val="19"/>
          <w:color w:val="auto"/>
        </w:rPr>
      </w:pPr>
      <w:r>
        <w:rPr>
          <w:rFonts w:ascii="Arial" w:cs="Arial" w:eastAsia="Arial" w:hAnsi="Arial"/>
          <w:sz w:val="19"/>
          <w:szCs w:val="19"/>
          <w:color w:val="auto"/>
        </w:rPr>
        <w:t>Employer recognizes that Recordkeeper or affiliates may collect administrative fee payments in connection with mutual funds held in the plan that are used to offset the costs of recordkeeping and administrative tasks. Current administrative fee payments are listed on Schedule C-1. If administrative fee payments change, the fees quoted are subject to change.</w:t>
      </w:r>
    </w:p>
    <w:p>
      <w:pPr>
        <w:spacing w:after="0" w:line="187" w:lineRule="exact"/>
        <w:rPr>
          <w:rFonts w:ascii="Times New Roman" w:cs="Times New Roman" w:eastAsia="Times New Roman" w:hAnsi="Times New Roman"/>
          <w:sz w:val="19"/>
          <w:szCs w:val="19"/>
          <w:color w:val="auto"/>
        </w:rPr>
      </w:pPr>
    </w:p>
    <w:p>
      <w:pPr>
        <w:ind w:left="660" w:hanging="328"/>
        <w:spacing w:after="0" w:line="271" w:lineRule="auto"/>
        <w:tabs>
          <w:tab w:leader="none" w:pos="648" w:val="left"/>
        </w:tabs>
        <w:numPr>
          <w:ilvl w:val="0"/>
          <w:numId w:val="112"/>
        </w:numPr>
        <w:rPr>
          <w:rFonts w:ascii="Times New Roman" w:cs="Times New Roman" w:eastAsia="Times New Roman" w:hAnsi="Times New Roman"/>
          <w:sz w:val="20"/>
          <w:szCs w:val="20"/>
          <w:color w:val="auto"/>
        </w:rPr>
      </w:pPr>
      <w:r>
        <w:rPr>
          <w:rFonts w:ascii="Arial" w:cs="Arial" w:eastAsia="Arial" w:hAnsi="Arial"/>
          <w:sz w:val="20"/>
          <w:szCs w:val="20"/>
          <w:color w:val="auto"/>
        </w:rPr>
        <w:t>Employer acknowledges that affiliates of Recordkeeper may receive payment for other services provided to T. Rowe Price mutual funds, including investment management.</w:t>
      </w:r>
    </w:p>
    <w:p>
      <w:pPr>
        <w:spacing w:after="0" w:line="19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12"/>
        </w:numPr>
        <w:rPr>
          <w:rFonts w:ascii="Times New Roman" w:cs="Times New Roman" w:eastAsia="Times New Roman" w:hAnsi="Times New Roman"/>
          <w:sz w:val="20"/>
          <w:szCs w:val="20"/>
          <w:color w:val="auto"/>
        </w:rPr>
      </w:pPr>
      <w:r>
        <w:rPr>
          <w:rFonts w:ascii="Arial" w:cs="Arial" w:eastAsia="Arial" w:hAnsi="Arial"/>
          <w:sz w:val="20"/>
          <w:szCs w:val="20"/>
          <w:color w:val="auto"/>
        </w:rPr>
        <w:t>Costs for production and mailing of paper-based participant communications will be billed separately.</w:t>
      </w:r>
    </w:p>
    <w:p>
      <w:pPr>
        <w:spacing w:after="0" w:line="241" w:lineRule="exact"/>
        <w:rPr>
          <w:rFonts w:ascii="Times New Roman" w:cs="Times New Roman" w:eastAsia="Times New Roman" w:hAnsi="Times New Roman"/>
          <w:sz w:val="20"/>
          <w:szCs w:val="20"/>
          <w:color w:val="auto"/>
        </w:rPr>
      </w:pPr>
    </w:p>
    <w:p>
      <w:pPr>
        <w:jc w:val="both"/>
        <w:ind w:left="660" w:hanging="328"/>
        <w:spacing w:after="0" w:line="257" w:lineRule="auto"/>
        <w:tabs>
          <w:tab w:leader="none" w:pos="648" w:val="left"/>
        </w:tabs>
        <w:numPr>
          <w:ilvl w:val="0"/>
          <w:numId w:val="112"/>
        </w:numPr>
        <w:rPr>
          <w:rFonts w:ascii="Times New Roman" w:cs="Times New Roman" w:eastAsia="Times New Roman" w:hAnsi="Times New Roman"/>
          <w:sz w:val="20"/>
          <w:szCs w:val="20"/>
          <w:color w:val="auto"/>
        </w:rPr>
      </w:pPr>
      <w:r>
        <w:rPr>
          <w:rFonts w:ascii="Arial" w:cs="Arial" w:eastAsia="Arial" w:hAnsi="Arial"/>
          <w:sz w:val="20"/>
          <w:szCs w:val="20"/>
          <w:color w:val="auto"/>
        </w:rPr>
        <w:t>Recordkeeper shall charge Employer for any extraordinary expenses or other costs that arise in the process of performing its duties hereunder. Such extraordinary expenses include, but shall not be limited to, custom reporting, conversion services requested by Employer that require extensive programming, expenses and fees incurred by Recordkeeper in connection with governmental or regulatory inquiries relating to the Plan or in connection with Employer audits of the Plan, and costs of correcting recordkeeping errors that were not made by Recordkeeper.</w:t>
      </w:r>
    </w:p>
    <w:p>
      <w:pPr>
        <w:spacing w:after="0" w:line="198" w:lineRule="exact"/>
        <w:rPr>
          <w:rFonts w:ascii="Times New Roman" w:cs="Times New Roman" w:eastAsia="Times New Roman" w:hAnsi="Times New Roman"/>
          <w:sz w:val="20"/>
          <w:szCs w:val="20"/>
          <w:color w:val="auto"/>
        </w:rPr>
      </w:pPr>
    </w:p>
    <w:p>
      <w:pPr>
        <w:jc w:val="both"/>
        <w:ind w:left="660" w:hanging="328"/>
        <w:spacing w:after="0" w:line="259" w:lineRule="auto"/>
        <w:tabs>
          <w:tab w:leader="none" w:pos="648" w:val="left"/>
        </w:tabs>
        <w:numPr>
          <w:ilvl w:val="0"/>
          <w:numId w:val="112"/>
        </w:numPr>
        <w:rPr>
          <w:rFonts w:ascii="Times New Roman" w:cs="Times New Roman" w:eastAsia="Times New Roman" w:hAnsi="Times New Roman"/>
          <w:sz w:val="20"/>
          <w:szCs w:val="20"/>
          <w:color w:val="auto"/>
        </w:rPr>
      </w:pPr>
      <w:r>
        <w:rPr>
          <w:rFonts w:ascii="Arial" w:cs="Arial" w:eastAsia="Arial" w:hAnsi="Arial"/>
          <w:sz w:val="20"/>
          <w:szCs w:val="20"/>
          <w:color w:val="auto"/>
        </w:rPr>
        <w:t>Except as otherwise provided for specific fees, all fees and expenses for services provided under this Agreement shall be billed to Employer quarterly in arrears and are due and payable to Recordkeeper within 30 days after the date of invoice. If unpaid for any reason by 90 days after the date of invoice, fees may be extracted from plan-level accounts. If plan level accounts are insufficient, fees may be extracted from participant accounts on a pro rata basis.</w:t>
      </w:r>
    </w:p>
    <w:p>
      <w:pPr>
        <w:spacing w:after="0" w:line="207" w:lineRule="exact"/>
        <w:rPr>
          <w:rFonts w:ascii="Times New Roman" w:cs="Times New Roman" w:eastAsia="Times New Roman" w:hAnsi="Times New Roman"/>
          <w:sz w:val="20"/>
          <w:szCs w:val="20"/>
          <w:color w:val="auto"/>
        </w:rPr>
      </w:pPr>
    </w:p>
    <w:p>
      <w:pPr>
        <w:ind w:left="660" w:hanging="328"/>
        <w:spacing w:after="0" w:line="271" w:lineRule="auto"/>
        <w:tabs>
          <w:tab w:leader="none" w:pos="648" w:val="left"/>
        </w:tabs>
        <w:numPr>
          <w:ilvl w:val="0"/>
          <w:numId w:val="112"/>
        </w:numPr>
        <w:rPr>
          <w:rFonts w:ascii="Times New Roman" w:cs="Times New Roman" w:eastAsia="Times New Roman" w:hAnsi="Times New Roman"/>
          <w:sz w:val="20"/>
          <w:szCs w:val="20"/>
          <w:color w:val="auto"/>
        </w:rPr>
      </w:pPr>
      <w:r>
        <w:rPr>
          <w:rFonts w:ascii="Arial" w:cs="Arial" w:eastAsia="Arial" w:hAnsi="Arial"/>
          <w:sz w:val="20"/>
          <w:szCs w:val="20"/>
          <w:color w:val="auto"/>
        </w:rPr>
        <w:t>Standard recordkeeping and administrative processes may give rise to incidental compensation to Recordkeeper or its affiliates.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HOST HOTELS &amp; RESORTS 154928 ASA 11.05.25</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SCHEDULE C-1 - FEE SCHEDULE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w:t>
      </w:r>
    </w:p>
    <w:p>
      <w:pPr>
        <w:ind w:right="20"/>
        <w:spacing w:after="0" w:line="267" w:lineRule="auto"/>
        <w:rPr>
          <w:sz w:val="20"/>
          <w:szCs w:val="20"/>
          <w:color w:val="auto"/>
        </w:rPr>
      </w:pPr>
      <w:r>
        <w:rPr>
          <w:rFonts w:ascii="Arial" w:cs="Arial" w:eastAsia="Arial" w:hAnsi="Arial"/>
          <w:sz w:val="20"/>
          <w:szCs w:val="20"/>
          <w:color w:val="auto"/>
        </w:rPr>
        <w:t>Recordkeeper will receive certain administrative fees from the non-proprietary investment options identified below for providing recordkeeping and shareholder services to such entities in connection with Plan investments in such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40575" cy="12084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7140575" cy="1208405"/>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FFFFFF"/>
        </w:rPr>
        <w:t>Administrative Fees in Connection with Non-Price Funds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20" w:type="dxa"/>
            <w:vAlign w:val="bottom"/>
            <w:tcBorders>
              <w:top w:val="single" w:sz="8" w:color="auto"/>
              <w:bottom w:val="single" w:sz="8" w:color="auto"/>
              <w:right w:val="single" w:sz="8" w:color="auto"/>
            </w:tcBorders>
          </w:tcPr>
          <w:p>
            <w:pPr>
              <w:ind w:left="2340"/>
              <w:spacing w:after="0"/>
              <w:rPr>
                <w:sz w:val="20"/>
                <w:szCs w:val="20"/>
                <w:color w:val="auto"/>
              </w:rPr>
            </w:pPr>
            <w:r>
              <w:rPr>
                <w:rFonts w:ascii="Arial" w:cs="Arial" w:eastAsia="Arial" w:hAnsi="Arial"/>
                <w:sz w:val="20"/>
                <w:szCs w:val="20"/>
                <w:b w:val="1"/>
                <w:bCs w:val="1"/>
                <w:color w:val="auto"/>
              </w:rPr>
              <w:t>FUND</w:t>
            </w:r>
          </w:p>
        </w:tc>
        <w:tc>
          <w:tcPr>
            <w:tcW w:w="2700" w:type="dxa"/>
            <w:vAlign w:val="bottom"/>
            <w:tcBorders>
              <w:top w:val="single" w:sz="8" w:color="auto"/>
              <w:bottom w:val="single" w:sz="8" w:color="auto"/>
              <w:right w:val="single" w:sz="8" w:color="auto"/>
            </w:tcBorders>
          </w:tcPr>
          <w:p>
            <w:pPr>
              <w:ind w:left="960"/>
              <w:spacing w:after="0"/>
              <w:rPr>
                <w:sz w:val="20"/>
                <w:szCs w:val="20"/>
                <w:color w:val="auto"/>
              </w:rPr>
            </w:pPr>
            <w:r>
              <w:rPr>
                <w:rFonts w:ascii="Arial" w:cs="Arial" w:eastAsia="Arial" w:hAnsi="Arial"/>
                <w:sz w:val="20"/>
                <w:szCs w:val="20"/>
                <w:b w:val="1"/>
                <w:bCs w:val="1"/>
                <w:color w:val="auto"/>
              </w:rPr>
              <w:t>TICKER</w:t>
            </w:r>
          </w:p>
        </w:tc>
        <w:tc>
          <w:tcPr>
            <w:tcW w:w="3340" w:type="dxa"/>
            <w:vAlign w:val="bottom"/>
            <w:tcBorders>
              <w:top w:val="single" w:sz="8" w:color="auto"/>
              <w:bottom w:val="single" w:sz="8" w:color="auto"/>
            </w:tcBorders>
          </w:tcPr>
          <w:p>
            <w:pPr>
              <w:ind w:left="1460"/>
              <w:spacing w:after="0"/>
              <w:rPr>
                <w:sz w:val="20"/>
                <w:szCs w:val="20"/>
                <w:color w:val="auto"/>
              </w:rPr>
            </w:pPr>
            <w:r>
              <w:rPr>
                <w:rFonts w:ascii="Arial" w:cs="Arial" w:eastAsia="Arial" w:hAnsi="Arial"/>
                <w:sz w:val="20"/>
                <w:szCs w:val="20"/>
                <w:b w:val="1"/>
                <w:bCs w:val="1"/>
                <w:color w:val="auto"/>
              </w:rPr>
              <w:t>FEE</w:t>
            </w:r>
          </w:p>
        </w:tc>
      </w:tr>
      <w:tr>
        <w:trPr>
          <w:trHeight w:val="250"/>
        </w:trPr>
        <w:tc>
          <w:tcPr>
            <w:tcW w:w="5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BlackRock 40/60 Target Allocation Instl</w:t>
            </w: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BIMPX</w:t>
            </w:r>
          </w:p>
        </w:tc>
        <w:tc>
          <w:tcPr>
            <w:tcW w:w="33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25</w:t>
            </w:r>
          </w:p>
        </w:tc>
      </w:tr>
      <w:tr>
        <w:trPr>
          <w:trHeight w:val="250"/>
        </w:trPr>
        <w:tc>
          <w:tcPr>
            <w:tcW w:w="5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BlackRock 60/40 Target Allocation Instl</w:t>
            </w: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BIGPX</w:t>
            </w:r>
          </w:p>
        </w:tc>
        <w:tc>
          <w:tcPr>
            <w:tcW w:w="33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25</w:t>
            </w:r>
          </w:p>
        </w:tc>
      </w:tr>
      <w:tr>
        <w:trPr>
          <w:trHeight w:val="250"/>
        </w:trPr>
        <w:tc>
          <w:tcPr>
            <w:tcW w:w="5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BlackRock 80/20 Target Allocation Instl</w:t>
            </w: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BIAPX</w:t>
            </w:r>
          </w:p>
        </w:tc>
        <w:tc>
          <w:tcPr>
            <w:tcW w:w="33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25</w:t>
            </w:r>
          </w:p>
        </w:tc>
      </w:tr>
      <w:tr>
        <w:trPr>
          <w:trHeight w:val="250"/>
        </w:trPr>
        <w:tc>
          <w:tcPr>
            <w:tcW w:w="5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Dodge &amp; Cox Income I</w:t>
            </w: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DODIX</w:t>
            </w:r>
          </w:p>
        </w:tc>
        <w:tc>
          <w:tcPr>
            <w:tcW w:w="33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8</w:t>
            </w:r>
          </w:p>
        </w:tc>
      </w:tr>
      <w:tr>
        <w:trPr>
          <w:trHeight w:val="250"/>
        </w:trPr>
        <w:tc>
          <w:tcPr>
            <w:tcW w:w="5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Principal Real Estate Securities Inst</w:t>
            </w: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PIREX</w:t>
            </w:r>
          </w:p>
        </w:tc>
        <w:tc>
          <w:tcPr>
            <w:tcW w:w="33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10</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w:t>
      </w:r>
    </w:p>
    <w:p>
      <w:pPr>
        <w:spacing w:after="0" w:line="33"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color w:val="auto"/>
        </w:rPr>
        <w:t>In addition, Recordkeeper will receive administrative fees from the Price Funds and Price Investments identified below for providing recordkeeping and shareholder services to such entities in connection with Plan investments in such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40575" cy="523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7140575" cy="523240"/>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FFFFFF"/>
        </w:rPr>
        <w:t>Administrative Fees in Connection with Price Funds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00" w:type="dxa"/>
            <w:vAlign w:val="bottom"/>
            <w:tcBorders>
              <w:top w:val="single" w:sz="8" w:color="auto"/>
              <w:bottom w:val="single" w:sz="8" w:color="auto"/>
              <w:right w:val="single" w:sz="8" w:color="auto"/>
            </w:tcBorders>
          </w:tcPr>
          <w:p>
            <w:pPr>
              <w:ind w:left="3720"/>
              <w:spacing w:after="0"/>
              <w:rPr>
                <w:sz w:val="20"/>
                <w:szCs w:val="20"/>
                <w:color w:val="auto"/>
              </w:rPr>
            </w:pPr>
            <w:r>
              <w:rPr>
                <w:rFonts w:ascii="Arial" w:cs="Arial" w:eastAsia="Arial" w:hAnsi="Arial"/>
                <w:sz w:val="20"/>
                <w:szCs w:val="20"/>
                <w:b w:val="1"/>
                <w:bCs w:val="1"/>
                <w:color w:val="auto"/>
              </w:rPr>
              <w:t>FUND</w:t>
            </w:r>
          </w:p>
        </w:tc>
        <w:tc>
          <w:tcPr>
            <w:tcW w:w="1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TICKER</w:t>
            </w: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FEE</w:t>
            </w:r>
          </w:p>
        </w:tc>
      </w:tr>
      <w:tr>
        <w:trPr>
          <w:trHeight w:val="250"/>
        </w:trPr>
        <w:tc>
          <w:tcPr>
            <w:tcW w:w="80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T. Rowe Price Spectrum Income</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RPSIX</w:t>
            </w:r>
          </w:p>
        </w:tc>
        <w:tc>
          <w:tcPr>
            <w:tcW w:w="162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rPr>
              <w:t>19</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*Note the annual administrative fees associated with each option on this Schedule are expressed in basis points (bps).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60"/>
          </w:cols>
          <w:pgMar w:left="320" w:top="1440" w:right="31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HOST HOTELS &amp; RESORTS 154928 ASA 11.05.25</w:t>
      </w:r>
    </w:p>
    <w:p>
      <w:pPr>
        <w:sectPr>
          <w:pgSz w:w="11900" w:h="16838" w:orient="portrait"/>
          <w:cols w:equalWidth="0" w:num="1">
            <w:col w:w="11260"/>
          </w:cols>
          <w:pgMar w:left="320" w:top="1440" w:right="319" w:bottom="1440" w:gutter="0" w:footer="0" w:header="0"/>
          <w:type w:val="continuous"/>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SCHEDULE D</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AUTHORIZED SIGNERS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individuals are authorized to provide direction on behalf of Employer for the purposes as set forth below:</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Employer with regard to </w:t>
      </w:r>
      <w:r>
        <w:rPr>
          <w:rFonts w:ascii="Arial" w:cs="Arial" w:eastAsia="Arial" w:hAnsi="Arial"/>
          <w:sz w:val="20"/>
          <w:szCs w:val="20"/>
          <w:b w:val="1"/>
          <w:bCs w:val="1"/>
          <w:color w:val="auto"/>
        </w:rPr>
        <w:t>THE HOST HOTELS &amp; RESORTS L.P. EXECUTIVE DEFERRED COMPENSATION PLAN</w:t>
      </w:r>
      <w:r>
        <w:rPr>
          <w:rFonts w:ascii="Arial" w:cs="Arial" w:eastAsia="Arial" w:hAnsi="Arial"/>
          <w:sz w:val="20"/>
          <w:szCs w:val="20"/>
          <w:color w:val="auto"/>
        </w:rPr>
        <w:t>:</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00" w:type="dxa"/>
            <w:vAlign w:val="bottom"/>
            <w:tcBorders>
              <w:top w:val="single" w:sz="8" w:color="auto"/>
              <w:left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40" w:type="dxa"/>
            <w:vAlign w:val="bottom"/>
            <w:tcBorders>
              <w:top w:val="single" w:sz="8" w:color="auto"/>
            </w:tcBorders>
            <w:gridSpan w:val="4"/>
          </w:tcPr>
          <w:p>
            <w:pPr>
              <w:ind w:left="40"/>
              <w:spacing w:after="0"/>
              <w:rPr>
                <w:sz w:val="20"/>
                <w:szCs w:val="20"/>
                <w:color w:val="auto"/>
              </w:rPr>
            </w:pPr>
            <w:r>
              <w:rPr>
                <w:rFonts w:ascii="Arial" w:cs="Arial" w:eastAsia="Arial" w:hAnsi="Arial"/>
                <w:sz w:val="20"/>
                <w:szCs w:val="20"/>
                <w:color w:val="auto"/>
              </w:rPr>
              <w:t>Name</w:t>
            </w:r>
          </w:p>
        </w:tc>
        <w:tc>
          <w:tcPr>
            <w:tcW w:w="880" w:type="dxa"/>
            <w:vAlign w:val="bottom"/>
            <w:tcBorders>
              <w:top w:val="single" w:sz="8" w:color="auto"/>
              <w:right w:val="single" w:sz="8" w:color="auto"/>
            </w:tcBorders>
          </w:tcPr>
          <w:p>
            <w:pPr>
              <w:spacing w:after="0"/>
              <w:rPr>
                <w:sz w:val="19"/>
                <w:szCs w:val="19"/>
                <w:color w:val="auto"/>
              </w:rPr>
            </w:pPr>
          </w:p>
        </w:tc>
        <w:tc>
          <w:tcPr>
            <w:tcW w:w="2380" w:type="dxa"/>
            <w:vAlign w:val="bottom"/>
            <w:tcBorders>
              <w:top w:val="single" w:sz="8" w:color="auto"/>
            </w:tcBorders>
          </w:tcPr>
          <w:p>
            <w:pPr>
              <w:spacing w:after="0"/>
              <w:rPr>
                <w:sz w:val="19"/>
                <w:szCs w:val="19"/>
                <w:color w:val="auto"/>
              </w:rPr>
            </w:pPr>
          </w:p>
        </w:tc>
        <w:tc>
          <w:tcPr>
            <w:tcW w:w="32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Signature</w:t>
            </w:r>
          </w:p>
        </w:tc>
        <w:tc>
          <w:tcPr>
            <w:tcW w:w="0" w:type="dxa"/>
            <w:vAlign w:val="bottom"/>
          </w:tcPr>
          <w:p>
            <w:pPr>
              <w:spacing w:after="0"/>
              <w:rPr>
                <w:sz w:val="1"/>
                <w:szCs w:val="1"/>
                <w:color w:val="auto"/>
              </w:rPr>
            </w:pPr>
          </w:p>
        </w:tc>
      </w:tr>
      <w:tr>
        <w:trPr>
          <w:trHeight w:val="61"/>
        </w:trPr>
        <w:tc>
          <w:tcPr>
            <w:tcW w:w="700" w:type="dxa"/>
            <w:vAlign w:val="bottom"/>
            <w:tcBorders>
              <w:left w:val="single" w:sz="8" w:color="auto"/>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20" w:type="dxa"/>
            <w:vAlign w:val="bottom"/>
            <w:tcBorders>
              <w:top w:val="single" w:sz="8" w:color="auto"/>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13"/>
        </w:trPr>
        <w:tc>
          <w:tcPr>
            <w:tcW w:w="4760" w:type="dxa"/>
            <w:vAlign w:val="bottom"/>
            <w:tcBorders>
              <w:left w:val="single" w:sz="8" w:color="auto"/>
            </w:tcBorders>
            <w:gridSpan w:val="9"/>
          </w:tcPr>
          <w:p>
            <w:pPr>
              <w:ind w:left="80"/>
              <w:spacing w:after="0"/>
              <w:rPr>
                <w:sz w:val="20"/>
                <w:szCs w:val="20"/>
                <w:color w:val="auto"/>
              </w:rPr>
            </w:pPr>
            <w:r>
              <w:rPr>
                <w:rFonts w:ascii="Arial" w:cs="Arial" w:eastAsia="Arial" w:hAnsi="Arial"/>
                <w:sz w:val="20"/>
                <w:szCs w:val="20"/>
                <w:b w:val="1"/>
                <w:bCs w:val="1"/>
                <w:color w:val="auto"/>
              </w:rPr>
              <w:t>Joseph Ottinger</w:t>
            </w:r>
          </w:p>
        </w:tc>
        <w:tc>
          <w:tcPr>
            <w:tcW w:w="8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gridSpan w:val="3"/>
          </w:tcPr>
          <w:p>
            <w:pPr>
              <w:ind w:left="60"/>
              <w:spacing w:after="0"/>
              <w:rPr>
                <w:sz w:val="20"/>
                <w:szCs w:val="20"/>
                <w:color w:val="auto"/>
              </w:rPr>
            </w:pPr>
            <w:r>
              <w:rPr>
                <w:rFonts w:ascii="Arial" w:cs="Arial" w:eastAsia="Arial" w:hAnsi="Arial"/>
                <w:sz w:val="20"/>
                <w:szCs w:val="20"/>
                <w:b w:val="1"/>
                <w:bCs w:val="1"/>
                <w:color w:val="auto"/>
              </w:rPr>
              <w:t>/s/ Joe Ottinger</w:t>
            </w:r>
          </w:p>
        </w:tc>
        <w:tc>
          <w:tcPr>
            <w:tcW w:w="0" w:type="dxa"/>
            <w:vAlign w:val="bottom"/>
          </w:tcPr>
          <w:p>
            <w:pPr>
              <w:spacing w:after="0"/>
              <w:rPr>
                <w:sz w:val="1"/>
                <w:szCs w:val="1"/>
                <w:color w:val="auto"/>
              </w:rPr>
            </w:pPr>
          </w:p>
        </w:tc>
      </w:tr>
      <w:tr>
        <w:trPr>
          <w:trHeight w:val="21"/>
        </w:trPr>
        <w:tc>
          <w:tcPr>
            <w:tcW w:w="70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3"/>
        </w:trPr>
        <w:tc>
          <w:tcPr>
            <w:tcW w:w="4760" w:type="dxa"/>
            <w:vAlign w:val="bottom"/>
            <w:tcBorders>
              <w:left w:val="single" w:sz="8" w:color="auto"/>
            </w:tcBorders>
            <w:gridSpan w:val="9"/>
          </w:tcPr>
          <w:p>
            <w:pPr>
              <w:ind w:left="80"/>
              <w:spacing w:after="0"/>
              <w:rPr>
                <w:sz w:val="20"/>
                <w:szCs w:val="20"/>
                <w:color w:val="auto"/>
              </w:rPr>
            </w:pPr>
            <w:r>
              <w:rPr>
                <w:rFonts w:ascii="Arial" w:cs="Arial" w:eastAsia="Arial" w:hAnsi="Arial"/>
                <w:sz w:val="20"/>
                <w:szCs w:val="20"/>
                <w:b w:val="1"/>
                <w:bCs w:val="1"/>
                <w:color w:val="auto"/>
              </w:rPr>
              <w:t>Karen Montague</w:t>
            </w:r>
          </w:p>
        </w:tc>
        <w:tc>
          <w:tcPr>
            <w:tcW w:w="8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gridSpan w:val="3"/>
          </w:tcPr>
          <w:p>
            <w:pPr>
              <w:ind w:left="60"/>
              <w:spacing w:after="0"/>
              <w:rPr>
                <w:sz w:val="20"/>
                <w:szCs w:val="20"/>
                <w:color w:val="auto"/>
              </w:rPr>
            </w:pPr>
            <w:r>
              <w:rPr>
                <w:rFonts w:ascii="Arial" w:cs="Arial" w:eastAsia="Arial" w:hAnsi="Arial"/>
                <w:sz w:val="20"/>
                <w:szCs w:val="20"/>
                <w:b w:val="1"/>
                <w:bCs w:val="1"/>
                <w:color w:val="auto"/>
              </w:rPr>
              <w:t>/s/ Karen Montague</w:t>
            </w:r>
          </w:p>
        </w:tc>
        <w:tc>
          <w:tcPr>
            <w:tcW w:w="0" w:type="dxa"/>
            <w:vAlign w:val="bottom"/>
          </w:tcPr>
          <w:p>
            <w:pPr>
              <w:spacing w:after="0"/>
              <w:rPr>
                <w:sz w:val="1"/>
                <w:szCs w:val="1"/>
                <w:color w:val="auto"/>
              </w:rPr>
            </w:pPr>
          </w:p>
        </w:tc>
      </w:tr>
      <w:tr>
        <w:trPr>
          <w:trHeight w:val="21"/>
        </w:trPr>
        <w:tc>
          <w:tcPr>
            <w:tcW w:w="70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3"/>
        </w:trPr>
        <w:tc>
          <w:tcPr>
            <w:tcW w:w="4760" w:type="dxa"/>
            <w:vAlign w:val="bottom"/>
            <w:tcBorders>
              <w:left w:val="single" w:sz="8" w:color="auto"/>
            </w:tcBorders>
            <w:gridSpan w:val="9"/>
          </w:tcPr>
          <w:p>
            <w:pPr>
              <w:ind w:left="80"/>
              <w:spacing w:after="0"/>
              <w:rPr>
                <w:sz w:val="20"/>
                <w:szCs w:val="20"/>
                <w:color w:val="auto"/>
              </w:rPr>
            </w:pPr>
            <w:r>
              <w:rPr>
                <w:rFonts w:ascii="Arial" w:cs="Arial" w:eastAsia="Arial" w:hAnsi="Arial"/>
                <w:sz w:val="20"/>
                <w:szCs w:val="20"/>
                <w:b w:val="1"/>
                <w:bCs w:val="1"/>
                <w:color w:val="auto"/>
              </w:rPr>
              <w:t>Gabrielle Walther</w:t>
            </w:r>
          </w:p>
        </w:tc>
        <w:tc>
          <w:tcPr>
            <w:tcW w:w="8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gridSpan w:val="3"/>
          </w:tcPr>
          <w:p>
            <w:pPr>
              <w:ind w:left="60"/>
              <w:spacing w:after="0"/>
              <w:rPr>
                <w:sz w:val="20"/>
                <w:szCs w:val="20"/>
                <w:color w:val="auto"/>
              </w:rPr>
            </w:pPr>
            <w:r>
              <w:rPr>
                <w:rFonts w:ascii="Arial" w:cs="Arial" w:eastAsia="Arial" w:hAnsi="Arial"/>
                <w:sz w:val="20"/>
                <w:szCs w:val="20"/>
                <w:b w:val="1"/>
                <w:bCs w:val="1"/>
                <w:color w:val="auto"/>
              </w:rPr>
              <w:t>/s/ Gabrielle Walther</w:t>
            </w:r>
          </w:p>
        </w:tc>
        <w:tc>
          <w:tcPr>
            <w:tcW w:w="0" w:type="dxa"/>
            <w:vAlign w:val="bottom"/>
          </w:tcPr>
          <w:p>
            <w:pPr>
              <w:spacing w:after="0"/>
              <w:rPr>
                <w:sz w:val="1"/>
                <w:szCs w:val="1"/>
                <w:color w:val="auto"/>
              </w:rPr>
            </w:pPr>
          </w:p>
        </w:tc>
      </w:tr>
      <w:tr>
        <w:trPr>
          <w:trHeight w:val="20"/>
        </w:trPr>
        <w:tc>
          <w:tcPr>
            <w:tcW w:w="70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3"/>
        </w:trPr>
        <w:tc>
          <w:tcPr>
            <w:tcW w:w="4760" w:type="dxa"/>
            <w:vAlign w:val="bottom"/>
            <w:tcBorders>
              <w:left w:val="single" w:sz="8" w:color="auto"/>
            </w:tcBorders>
            <w:gridSpan w:val="9"/>
          </w:tcPr>
          <w:p>
            <w:pPr>
              <w:ind w:left="80"/>
              <w:spacing w:after="0"/>
              <w:rPr>
                <w:sz w:val="20"/>
                <w:szCs w:val="20"/>
                <w:color w:val="auto"/>
              </w:rPr>
            </w:pPr>
            <w:r>
              <w:rPr>
                <w:rFonts w:ascii="Arial" w:cs="Arial" w:eastAsia="Arial" w:hAnsi="Arial"/>
                <w:sz w:val="20"/>
                <w:szCs w:val="20"/>
                <w:b w:val="1"/>
                <w:bCs w:val="1"/>
                <w:color w:val="auto"/>
              </w:rPr>
              <w:t>Mark Hatton</w:t>
            </w:r>
          </w:p>
        </w:tc>
        <w:tc>
          <w:tcPr>
            <w:tcW w:w="88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gridSpan w:val="3"/>
          </w:tcPr>
          <w:p>
            <w:pPr>
              <w:ind w:left="60"/>
              <w:spacing w:after="0"/>
              <w:rPr>
                <w:sz w:val="20"/>
                <w:szCs w:val="20"/>
                <w:color w:val="auto"/>
              </w:rPr>
            </w:pPr>
            <w:r>
              <w:rPr>
                <w:rFonts w:ascii="Arial" w:cs="Arial" w:eastAsia="Arial" w:hAnsi="Arial"/>
                <w:sz w:val="20"/>
                <w:szCs w:val="20"/>
                <w:b w:val="1"/>
                <w:bCs w:val="1"/>
                <w:color w:val="auto"/>
              </w:rPr>
              <w:t>/s/ Mark Hatton</w:t>
            </w:r>
          </w:p>
        </w:tc>
        <w:tc>
          <w:tcPr>
            <w:tcW w:w="0" w:type="dxa"/>
            <w:vAlign w:val="bottom"/>
          </w:tcPr>
          <w:p>
            <w:pPr>
              <w:spacing w:after="0"/>
              <w:rPr>
                <w:sz w:val="1"/>
                <w:szCs w:val="1"/>
                <w:color w:val="auto"/>
              </w:rPr>
            </w:pPr>
          </w:p>
        </w:tc>
      </w:tr>
      <w:tr>
        <w:trPr>
          <w:trHeight w:val="20"/>
        </w:trPr>
        <w:tc>
          <w:tcPr>
            <w:tcW w:w="70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4"/>
        </w:trPr>
        <w:tc>
          <w:tcPr>
            <w:tcW w:w="4760" w:type="dxa"/>
            <w:vAlign w:val="bottom"/>
            <w:gridSpan w:val="9"/>
          </w:tcPr>
          <w:p>
            <w:pPr>
              <w:spacing w:after="0"/>
              <w:rPr>
                <w:sz w:val="20"/>
                <w:szCs w:val="20"/>
                <w:color w:val="auto"/>
              </w:rPr>
            </w:pPr>
            <w:r>
              <w:rPr>
                <w:rFonts w:ascii="Arial" w:cs="Arial" w:eastAsia="Arial" w:hAnsi="Arial"/>
                <w:sz w:val="20"/>
                <w:szCs w:val="20"/>
                <w:b w:val="1"/>
                <w:bCs w:val="1"/>
                <w:color w:val="auto"/>
              </w:rPr>
              <w:t>HOST HOTELS &amp; RESORTS L.P.</w:t>
            </w:r>
          </w:p>
        </w:tc>
        <w:tc>
          <w:tcPr>
            <w:tcW w:w="8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4760" w:type="dxa"/>
            <w:vAlign w:val="bottom"/>
            <w:gridSpan w:val="9"/>
          </w:tcPr>
          <w:p>
            <w:pPr>
              <w:spacing w:after="0"/>
              <w:rPr>
                <w:sz w:val="20"/>
                <w:szCs w:val="20"/>
                <w:color w:val="auto"/>
              </w:rPr>
            </w:pPr>
            <w:r>
              <w:rPr>
                <w:rFonts w:ascii="Arial" w:cs="Arial" w:eastAsia="Arial" w:hAnsi="Arial"/>
                <w:sz w:val="20"/>
                <w:szCs w:val="20"/>
                <w:color w:val="auto"/>
              </w:rPr>
              <w:t>By: ___/s/ Joe Ottinger__________________</w:t>
            </w:r>
          </w:p>
        </w:tc>
        <w:tc>
          <w:tcPr>
            <w:tcW w:w="8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5"/>
        </w:trPr>
        <w:tc>
          <w:tcPr>
            <w:tcW w:w="4760" w:type="dxa"/>
            <w:vAlign w:val="bottom"/>
            <w:gridSpan w:val="9"/>
          </w:tcPr>
          <w:p>
            <w:pPr>
              <w:spacing w:after="0"/>
              <w:rPr>
                <w:sz w:val="20"/>
                <w:szCs w:val="20"/>
                <w:color w:val="auto"/>
              </w:rPr>
            </w:pPr>
            <w:r>
              <w:rPr>
                <w:rFonts w:ascii="Arial" w:cs="Arial" w:eastAsia="Arial" w:hAnsi="Arial"/>
                <w:sz w:val="20"/>
                <w:szCs w:val="20"/>
                <w:color w:val="auto"/>
              </w:rPr>
              <w:t>Printed Name: _Joe Ottinger_____________</w:t>
            </w:r>
          </w:p>
        </w:tc>
        <w:tc>
          <w:tcPr>
            <w:tcW w:w="8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4760" w:type="dxa"/>
            <w:vAlign w:val="bottom"/>
            <w:gridSpan w:val="9"/>
          </w:tcPr>
          <w:p>
            <w:pPr>
              <w:spacing w:after="0"/>
              <w:rPr>
                <w:sz w:val="20"/>
                <w:szCs w:val="20"/>
                <w:color w:val="auto"/>
              </w:rPr>
            </w:pPr>
            <w:r>
              <w:rPr>
                <w:rFonts w:ascii="Arial" w:cs="Arial" w:eastAsia="Arial" w:hAnsi="Arial"/>
                <w:sz w:val="20"/>
                <w:szCs w:val="20"/>
                <w:color w:val="auto"/>
              </w:rPr>
              <w:t>Title: __SVP, Department Head, Accounting_</w:t>
            </w:r>
          </w:p>
        </w:tc>
        <w:tc>
          <w:tcPr>
            <w:tcW w:w="8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880" w:type="dxa"/>
            <w:vAlign w:val="bottom"/>
            <w:tcBorders>
              <w:left w:val="single" w:sz="8" w:color="auto"/>
            </w:tcBorders>
            <w:gridSpan w:val="4"/>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5"/>
        </w:trPr>
        <w:tc>
          <w:tcPr>
            <w:tcW w:w="4760" w:type="dxa"/>
            <w:vAlign w:val="bottom"/>
            <w:gridSpan w:val="9"/>
          </w:tcPr>
          <w:p>
            <w:pPr>
              <w:spacing w:after="0"/>
              <w:rPr>
                <w:sz w:val="20"/>
                <w:szCs w:val="20"/>
                <w:color w:val="auto"/>
              </w:rPr>
            </w:pPr>
            <w:r>
              <w:rPr>
                <w:rFonts w:ascii="Arial" w:cs="Arial" w:eastAsia="Arial" w:hAnsi="Arial"/>
                <w:sz w:val="20"/>
                <w:szCs w:val="20"/>
                <w:color w:val="auto"/>
              </w:rPr>
              <w:t>Dated: ___11/28/2025__________________</w:t>
            </w:r>
          </w:p>
        </w:tc>
        <w:tc>
          <w:tcPr>
            <w:tcW w:w="8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60" w:type="dxa"/>
            <w:vAlign w:val="bottom"/>
            <w:gridSpan w:val="2"/>
            <w:vMerge w:val="restart"/>
          </w:tcPr>
          <w:p>
            <w:pPr>
              <w:jc w:val="right"/>
              <w:ind w:right="2201"/>
              <w:spacing w:after="0"/>
              <w:rPr>
                <w:sz w:val="20"/>
                <w:szCs w:val="20"/>
                <w:color w:val="auto"/>
              </w:rPr>
            </w:pPr>
            <w:r>
              <w:rPr>
                <w:rFonts w:ascii="Times New Roman" w:cs="Times New Roman" w:eastAsia="Times New Roman" w:hAnsi="Times New Roman"/>
                <w:sz w:val="20"/>
                <w:szCs w:val="20"/>
                <w:color w:val="auto"/>
              </w:rPr>
              <w:t>23</w:t>
            </w:r>
          </w:p>
        </w:tc>
        <w:tc>
          <w:tcPr>
            <w:tcW w:w="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4"/>
        </w:trPr>
        <w:tc>
          <w:tcPr>
            <w:tcW w:w="4760" w:type="dxa"/>
            <w:vAlign w:val="bottom"/>
            <w:gridSpan w:val="9"/>
            <w:vMerge w:val="restart"/>
          </w:tcPr>
          <w:p>
            <w:pPr>
              <w:spacing w:after="0"/>
              <w:rPr>
                <w:sz w:val="20"/>
                <w:szCs w:val="20"/>
                <w:color w:val="auto"/>
              </w:rPr>
            </w:pPr>
            <w:r>
              <w:rPr>
                <w:rFonts w:ascii="Arial" w:cs="Arial" w:eastAsia="Arial" w:hAnsi="Arial"/>
                <w:sz w:val="16"/>
                <w:szCs w:val="16"/>
                <w:color w:val="auto"/>
              </w:rPr>
              <w:t>HOST HOTELS &amp; RESORTS 154928 ASA 11.05.25</w:t>
            </w:r>
          </w:p>
        </w:tc>
        <w:tc>
          <w:tcPr>
            <w:tcW w:w="32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760" w:type="dxa"/>
            <w:vAlign w:val="bottom"/>
            <w:gridSpan w:val="9"/>
            <w:vMerge w:val="continue"/>
          </w:tcPr>
          <w:p>
            <w:pPr>
              <w:spacing w:after="0"/>
              <w:rPr>
                <w:sz w:val="18"/>
                <w:szCs w:val="18"/>
                <w:color w:val="auto"/>
              </w:rPr>
            </w:pPr>
          </w:p>
        </w:tc>
        <w:tc>
          <w:tcPr>
            <w:tcW w:w="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1 of 8</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HOST HOTELS &amp; RESORTS, INC.</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Place of Incorporation</w:t>
            </w:r>
          </w:p>
        </w:tc>
      </w:tr>
      <w:tr>
        <w:trPr>
          <w:trHeight w:val="20"/>
        </w:trPr>
        <w:tc>
          <w:tcPr>
            <w:tcW w:w="8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SB Lessee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1414 CPNY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1414 CPNY TRS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2377 Collins Commercial Condominium Association, Inc.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48123 VBS OP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7th Avenue Nashville Hotel Owner,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Airport Hotels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Ameliatel LP</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Arizona Vacation Ownership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Austin HVZ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Austin HVZ TRS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Austin TRS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BC Key Largo TRS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Beachfront Properties, Inc.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Virgin Islands</w:t>
            </w:r>
          </w:p>
        </w:tc>
      </w:tr>
      <w:tr>
        <w:trPr>
          <w:trHeight w:val="28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Beach House TRS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Benjamin Franklin Hotel, Inc.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BRE/Swiss LP</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Calgary Charlotte Holdings Company</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Nova Scotia</w:t>
            </w:r>
          </w:p>
        </w:tc>
      </w:tr>
      <w:tr>
        <w:trPr>
          <w:trHeight w:val="28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Calgary Charlotte Partnership</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Alberta, CN</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CCES Chicago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CCFH Maui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CCFS Philadelphia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CCHH Atlanta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CCHH Burlingame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CCHH GHDC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CCHH Host Capitol Hill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CCHH Maui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CCHH Reston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CCHI Singer Island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CCHP Waikiki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Copley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Coronado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DC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Denver Tech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Denver West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Downers Grove Suites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Fin Center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Fisherman’s Wharf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Gaithersburg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40.</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Houston Galleria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Lenox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Marina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Metro Center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20"/>
          </w:cols>
          <w:pgMar w:left="340" w:top="104"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2 of 8</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HOST HOTELS &amp; RESORTS, INC.</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44.</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CCMH Minneapolis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45.</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CCMH Moscone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46.</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CCMH Newark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47.</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CCMH Orlando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48.</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CCMH Philadelphia AP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49.</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CCMH Philadelphia Mkt.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50.</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CCMH Potomac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51.</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CCMH Properties II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52.</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CCMH Quorum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53.</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CCMH Riverwalk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54.</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CCMH San Diego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55.</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CCMH Santa Clara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56.</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CCMH Tampa AP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57.</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CCMH Tampa Waterside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58.</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CCMH Times Square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59.</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CCRC Amelia Island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60.</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CCRC Buckhead/Naples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61.</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CCRC Dearborn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62.</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CCRC Marina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63.</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CCRC Naples Golf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64.</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CCRC Tysons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65.</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CCSH Chicago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66.</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Chesapeake Hotel Limited Partnership</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67.</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Cincinnati Plaza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68.</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City Center Hotel Limited Partnership</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7"/>
              </w:rPr>
              <w:t>Minnesota</w:t>
            </w:r>
          </w:p>
        </w:tc>
      </w:tr>
      <w:tr>
        <w:trPr>
          <w:trHeight w:val="28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69.</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CLMH Calgary, Inc.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Ontario</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70.</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CLMH Eaton Centre, Inc.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Ontario</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71.</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Demonbreun Nashville II TRS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72.</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Demonbreun Nashville TRS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73.</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Demonbreun Nashville Holdings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74.</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Don CeSar TRS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75.</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Durbin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76.</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East Camelback Residential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77.</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East Side Hotel Associates, L.P.</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78.</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Elcrisa S.A. de C.V.</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Mexico</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79.</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GLIC Holdings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80.</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GLIC,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Hawaii</w:t>
            </w:r>
          </w:p>
        </w:tc>
      </w:tr>
      <w:tr>
        <w:trPr>
          <w:trHeight w:val="28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81.</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Harbor-Cal S.D.</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California</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82.</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Harbor-Cal S.D. Partner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83.</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HHR AMW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84.</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HHR Assets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85.</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HHR Austin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86.</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HHR BC Key Largo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87.</w:t>
            </w:r>
          </w:p>
        </w:tc>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HHR Beach House LLC</w:t>
            </w:r>
          </w:p>
        </w:tc>
        <w:tc>
          <w:tcPr>
            <w:tcW w:w="2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20"/>
          </w:cols>
          <w:pgMar w:left="340" w:top="104"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3 of 8</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HOST HOTELS &amp; RESORTS, INC.</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88.</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BT Holdings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89.</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BT Rio de Janeiro Investimentos Hoteleiros Ltda.</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Brazil</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90.</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Calgary Holding ULC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7"/>
              </w:rPr>
              <w:t>British Columbia</w:t>
            </w:r>
          </w:p>
        </w:tc>
      </w:tr>
      <w:tr>
        <w:trPr>
          <w:trHeight w:val="28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FIP I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92.</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FIP II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FIP III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94.</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FSO Land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95.</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FSO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96.</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GHDC GP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GHDC Limited Partnership</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98.</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GHSF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99.</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HP Waikiki GP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HP Waikiki, L.P.</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HRCP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Harbor Beach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Houston DT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JW Rio de Janeiro Investimentos Hoteleiros Ltda.</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Brazil</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Lauderdale Beach Limited Partnership</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Maui Golf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Naples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Naples Golf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Nashville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110.</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Powell Street, L.P.</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Powell GP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Rio Holdings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113.</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SB Condo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114.</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SB Holdings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115.</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Singer Island GP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116.</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Singer Island Limited Partnership</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117.</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St. Pete Beach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118.</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Waikiki Holdings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119.</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WRN GP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120.</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HHR WRN Limited Partnership</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Airport, Inc.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Amelia II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123.</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AP Canada Company</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Nova Scotia</w:t>
            </w:r>
          </w:p>
        </w:tc>
      </w:tr>
      <w:tr>
        <w:trPr>
          <w:trHeight w:val="28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124.</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AP GP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125.</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AP LP</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126.</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Burlingame Hotel LP</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California</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127.</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Burlingame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128.</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Capital Resources LP</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129.</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Charlotte (Calgary) Company</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Nova Scotia</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130.</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Charlotte GP LLC</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Charlotte LP</w:t>
            </w:r>
          </w:p>
        </w:tc>
        <w:tc>
          <w:tcPr>
            <w:tcW w:w="2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20"/>
          </w:cols>
          <w:pgMar w:left="340" w:top="104"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4 of 8</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HOST HOTELS &amp; RESORTS, INC.</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132.</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Chicago Lakefront LLC</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133.</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Copley LP</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134.</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East Side LLC</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135.</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Gateway LP</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136.</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Headhouse Funding LLC</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137.</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Hotel Development LP</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138.</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Hotel Properties II Limited Partnership</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139.</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Hotel Properties Limited Partnership</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140.</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HT LP</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141.</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JWDC GP LLC</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142.</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Kea Lani LP</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143.</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Lenox LP</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144.</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Maui LP</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145.</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Mexpark LLC</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146.</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MHP II, Inc.</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147.</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MHP II LLC</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148.</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NGL LP</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149.</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OLS I LLC</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150.</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OLS I L.P.</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151.</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OLS II L.P.</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152.</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OP BN LP</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153.</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PLP LLC</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154.</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Polanco LLC</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155.</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Potomac LLC</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156.</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Properties I LLC</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157.</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Property Leasing LLC</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158.</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Reston LP</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159.</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Retirement Properties, L.P.</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160.</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Seattle LLC</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161.</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Suites Limited Partnership</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162.</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Suites LLC</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163.</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Times Square Hotel, L.P.</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New York</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164.</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Times Square Partner LLC</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165.</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Toronto Air Company</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Nova Scotia</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166.</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Toronto Airport GP LLC</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167.</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Toronto Airport LP</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168.</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Toronto EC Company</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Nova Scotia</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169.</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Toronto EC GP LLC</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170.</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HMC Toronto EC LP</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171.</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HMH Marina LLC</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172.</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HMH Restaurants LP</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173.</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HMH Rivers, L.P.</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174.</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HMH Rivers LLC</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175.</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HMH WTC LLC</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20"/>
          </w:cols>
          <w:pgMar w:left="340" w:top="104"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5 of 8</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HOST HOTELS &amp; RESORTS, INC.</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176.</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HMT Lessee Sub (SDM Hotel)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177.</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HMT Lessee Sub I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178.</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HMT Lessee Sub II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179.</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HMT Lessee Sub III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180.</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HMT Lessee Sub IV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181.</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Atlanta Perimeter Ground GP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182.</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Atlanta Perimeter Ground LP</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183.</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Biscayne Bay Land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184.</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California Corporation</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185.</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Camelback I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186.</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Camelback II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187.</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Camelback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188.</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Capitol Hill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189.</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Cincinnati Hotel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190.</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Cincinnati II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191.</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City Center GP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192.</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Copley GP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193.</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Dallas Quorum Ground GP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194.</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Dallas Quorum Ground LP</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195.</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Denver Hotel Company</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196.</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Denver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197.</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East 86th Street Land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198.</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Financing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199.</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Fourth Avenue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200.</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GH Atlanta GP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201.</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Harbor Island Corporation</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202.</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Holding Business Trust</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Maryland</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203.</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Hotels &amp; Resorts, L.P.</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204.</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Houston Airport GP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205.</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Houston Briar Oaks, L.P.</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206.</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Kea Lani GP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207.</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Kierland Developer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208.</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Kierland GP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209.</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Kierland LP</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210.</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Lenox Land GP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211.</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Maui Developer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212.</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Maui GP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213.</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Maui Vacation Ownership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214.</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Minneapolis City Center Ground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215.</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Moscone GP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216.</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NY Downtown GP LLC</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217.</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of Boston, Ltd.</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218.</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of Houston 1979 LP</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219.</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of Houston, L.P.</w:t>
            </w:r>
          </w:p>
        </w:tc>
        <w:tc>
          <w:tcPr>
            <w:tcW w:w="2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20"/>
          </w:cols>
          <w:pgMar w:left="340" w:top="104"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6 of 8</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HOST HOTELS &amp; RESORTS, INC.</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220.</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Realty Hotel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221.</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Realty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222.</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Realty Partnership, L.P.</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223.</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Restaurants GP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224.</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Reston GP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225.</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San Diego Hotel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226.</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San Diego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227.</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Santa Clara GP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228.</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South Coast GP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229.</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Swiss GP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230.</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Tampa GP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231.</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Times Square GP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232.</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Times Square LP</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233.</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Waltham Hotel LP</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234.</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Host Waltham II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235.</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Houston Airport Hotel Owner Limited Partnership</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236.</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Houston TRS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237.</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ACTRS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238.</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AH Maui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239.</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Asia/Australia Asset Manager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240.</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Asia/Australia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241.</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GP San Diego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242.</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GH San Francisco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243.</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GP South Coast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244.</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GP SR Houston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245.</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Houston AP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246.</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HRCP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247.</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I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248.</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II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249.</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III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250.</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Kierland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251.</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Lessee Cincinnati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252.</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Lessee CMBS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253.</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Lessee Denver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254.</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Lessee San Diego LP</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255.</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Lessee SNYT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256.</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Lessee South Coast LP</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257.</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Lessee SR Houston LP</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258.</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Lessee Waltham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259.</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Lessee West Seattle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260.</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Lessee WSeattle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261.</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LT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262.</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Powell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263.</w:t>
            </w:r>
          </w:p>
        </w:tc>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HST RHP LLC</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r>
    </w:tbl>
    <w:p>
      <w:pPr>
        <w:sectPr>
          <w:pgSz w:w="11900" w:h="16838" w:orient="portrait"/>
          <w:cols w:equalWidth="0" w:num="1">
            <w:col w:w="11220"/>
          </w:cols>
          <w:pgMar w:left="340" w:top="104"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7 of 8</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HOST HOTELS &amp; RESORTS, INC.</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264.</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HST San Diego HH Lessee GP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265.</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HST San Diego HH LP</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266.</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HST WRN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267.</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Jackson Hole Hotel Owner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268.</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Jackson Hole Hotel Tenant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269.</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JH Hwy 89 Land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270.</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JWDC Limited Partnership</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271.</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JWDC LP Holdings Limited Partnership</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272.</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Manchester Grand Resorts, Inc.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California</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273.</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Manchester Grand Resorts, L.P.</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California</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274.</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Marriott Mexico City Partnership, G.P.</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275.</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MFI Liquidating Agent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276.</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North Shore Bay TRS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277.</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North Shore Bay TRS Development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278.</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North Shore Bay TRS Farm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279.</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North Shore Bay TRS Waste Water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280.</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North Shore Bay Owner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281.</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North Shore Ocean Villas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282.</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Orlando TRS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283.</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Pacific Gateway, Ltd.</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California</w:t>
            </w:r>
          </w:p>
        </w:tc>
      </w:tr>
      <w:tr>
        <w:trPr>
          <w:trHeight w:val="320"/>
        </w:trPr>
        <w:tc>
          <w:tcPr>
            <w:tcW w:w="580" w:type="dxa"/>
            <w:vAlign w:val="bottom"/>
          </w:tcPr>
          <w:p>
            <w:pPr>
              <w:spacing w:after="0"/>
              <w:rPr>
                <w:sz w:val="20"/>
                <w:szCs w:val="20"/>
                <w:color w:val="auto"/>
              </w:rPr>
            </w:pPr>
            <w:r>
              <w:rPr>
                <w:rFonts w:ascii="Arial" w:cs="Arial" w:eastAsia="Arial" w:hAnsi="Arial"/>
                <w:sz w:val="20"/>
                <w:szCs w:val="20"/>
                <w:color w:val="auto"/>
              </w:rPr>
              <w:t>284</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Philadelphia Airport Hotel Limited Partnership</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285</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Philadelphia Airport Hotel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286</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Philadelphia Mkt. Street Lessee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287</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Phoenician Operating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288</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Phoenician Residential I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289</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Phoenician Residential II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290</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Phoenician Residential III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291</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Phoenician Residential IV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292</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PM Financial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293</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PM Financial LP</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294</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Polserv S.A. de C.V.</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Mexico</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295</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Potomac Hotel Limited Partnership</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296</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Propco Savannah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297</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RHP Foreign Lessee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298</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Rockledge HMC BN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299</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Rockledge HMT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300</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Rockledge Hotel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301</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Rockledge Hotel Properties, Inc.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302</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Rockledge Minnesota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303</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Rockledge NY Times Square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304</w:t>
            </w: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Rockledge Potomac LLC</w:t>
            </w:r>
          </w:p>
        </w:tc>
        <w:tc>
          <w:tcPr>
            <w:tcW w:w="2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20"/>
          </w:cols>
          <w:pgMar w:left="340" w:top="104"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8 of 8</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HOST HOTELS &amp; RESORTS, INC.</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80" w:type="dxa"/>
            <w:vAlign w:val="bottom"/>
          </w:tcPr>
          <w:p>
            <w:pPr>
              <w:spacing w:after="0"/>
              <w:rPr>
                <w:sz w:val="20"/>
                <w:szCs w:val="20"/>
                <w:color w:val="auto"/>
              </w:rPr>
            </w:pPr>
            <w:r>
              <w:rPr>
                <w:rFonts w:ascii="Arial" w:cs="Arial" w:eastAsia="Arial" w:hAnsi="Arial"/>
                <w:sz w:val="20"/>
                <w:szCs w:val="20"/>
                <w:color w:val="auto"/>
              </w:rPr>
              <w:t>305</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Rockledge Riverwalk LLC</w:t>
            </w: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306</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Rockledge Square 254 LLC</w:t>
            </w: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307</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S.D. Hotels LLC</w:t>
            </w: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308</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Santa Clara Host Hotel Limited Partnership</w:t>
            </w: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309</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Savannah TRS LLC</w:t>
            </w: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310</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SB Hotel Owner GP, L.L.C.</w:t>
            </w: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311</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SB Hotel Owner, L.P.</w:t>
            </w: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312</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Seattle Host Hotel Company LLC</w:t>
            </w: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313</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SNYT LLC</w:t>
            </w: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314</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South Coast Host Hotel LP</w:t>
            </w: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315</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TRS NY Lender LLC</w:t>
            </w: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316</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Tiburon Golf Ventures Limited Partnership</w:t>
            </w: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317</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Timeport, L.P.</w:t>
            </w: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Georgia</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318</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Times Square GP LLC</w:t>
            </w: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319</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Timewell Group, L.P.</w:t>
            </w: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Georgia</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320</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Turtle Bay Wastewater Treatment, LLC</w:t>
            </w: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321</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VBS Propco LLC</w:t>
            </w: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322</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W&amp;S Realty Corporation of Delaware</w:t>
            </w: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97"/>
        </w:trPr>
        <w:tc>
          <w:tcPr>
            <w:tcW w:w="580" w:type="dxa"/>
            <w:vAlign w:val="bottom"/>
          </w:tcPr>
          <w:p>
            <w:pPr>
              <w:spacing w:after="0"/>
              <w:rPr>
                <w:sz w:val="20"/>
                <w:szCs w:val="20"/>
                <w:color w:val="auto"/>
              </w:rPr>
            </w:pPr>
            <w:r>
              <w:rPr>
                <w:rFonts w:ascii="Arial" w:cs="Arial" w:eastAsia="Arial" w:hAnsi="Arial"/>
                <w:sz w:val="20"/>
                <w:szCs w:val="20"/>
                <w:color w:val="auto"/>
              </w:rPr>
              <w:t>323</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YBG Associates LP</w:t>
            </w: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5"/>
              </w:rPr>
              <w:t>Delaware</w:t>
            </w:r>
          </w:p>
        </w:tc>
      </w:tr>
    </w:tbl>
    <w:p>
      <w:pPr>
        <w:sectPr>
          <w:pgSz w:w="11900" w:h="16838" w:orient="portrait"/>
          <w:cols w:equalWidth="0" w:num="1">
            <w:col w:w="11220"/>
          </w:cols>
          <w:pgMar w:left="340" w:top="104"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21.2</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1 of 8</w:t>
      </w:r>
    </w:p>
    <w:p>
      <w:pPr>
        <w:spacing w:after="0" w:line="19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HOST HOTELS &amp; RESORTS, L.P.</w:t>
      </w: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Place of Incorporation</w:t>
            </w:r>
          </w:p>
        </w:tc>
      </w:tr>
      <w:tr>
        <w:trPr>
          <w:trHeight w:val="20"/>
        </w:trPr>
        <w:tc>
          <w:tcPr>
            <w:tcW w:w="5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SB Lessee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1414 CPNY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1414 CPNY TRS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2377 Collins Commercial Condominium Association Inc.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48123 VBS OP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7th Avenue Nashville Hotel Owner,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Airport Hotels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Ameliatel LP</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Arizona Vacation Ownership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Austin HVZ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Austin HVZ TRS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Austin TRS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BC Key Largo TRS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Beachfront Properties, Inc.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Virgin Islands</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Beach House TRS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Benjamin Franklin Hotel, Inc.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BRE/Swiss LP</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Calgary Charlotte Holdings Company</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Nova Scotia</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Calgary Charlotte Partnership</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Alberta, CN</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CCES Chicago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CCFH Maui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CCFS Philadelphia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CCHH Atlanta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CCHH Burlingame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CCHH GHDC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CCHH Host Capitol Hill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CCHH Maui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CCHH Reston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CCHI Singer Island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CCHP Waikiki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Copley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Coronado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DC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Denver Tech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Denver West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Downers Grove Suites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Fin Center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Fisherman’s Wharf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Gaithersburg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40.</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Houston Galleria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Lenox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Marina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CCMH Metro Center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040"/>
          </w:cols>
          <w:pgMar w:left="520" w:top="104"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21.2</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2 of 8</w:t>
      </w:r>
    </w:p>
    <w:p>
      <w:pPr>
        <w:spacing w:after="0" w:line="19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HOST HOTELS &amp; RESORTS, L.P.</w:t>
      </w: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44.</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CCMH Minneapolis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45.</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CCMH Moscone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46.</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CCMH Newark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47.</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CCMH Orlando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48.</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CCMH Philadelphia AP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49.</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CCMH Philadelphia Mkt.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50.</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CCMH Potomac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51.</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CCMH Properties II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52.</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CCMH Quorum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53.</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CCMH Riverwalk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54.</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CCMH San Diego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55.</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CCMH Santa Clara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56.</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CCMH Tampa AP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57.</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CCMH Tampa Waterside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58.</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CCMH Times Square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59.</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CCRC Amelia Island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60.</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CCRC Buckhead/Naples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61.</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CCRC Dearborn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62.</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CCRC Marina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63.</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CCRC Naples Golf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64.</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CCRC Tysons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65.</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CCSH Chicago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66.</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Chesapeake Hotel Limited Partnership</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67.</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Cincinnati Plaza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68.</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City Center Hotel Limited Partnership</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w w:val="97"/>
              </w:rPr>
              <w:t>Minnesota</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69.</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CLMH Calgary, Inc.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Ontario</w:t>
            </w:r>
          </w:p>
        </w:tc>
      </w:tr>
      <w:tr>
        <w:trPr>
          <w:trHeight w:val="28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70.</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CLMH Eaton Centre, Inc.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Ontario</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71.</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Demonbreun Nashville II TRS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72.</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Demonbreun Nashville TRS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73.</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Demonbreun Nashville Holdings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74.</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Don CeSar TRS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75.</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Durbin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76.</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East Camelback Residential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77.</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East Side Hotel Associates, L.P.</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78.</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Elcrisa S.A. de C.V.</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Mexico</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79.</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GLIC Holdings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80.</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GLIC,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Hawaii</w:t>
            </w:r>
          </w:p>
        </w:tc>
      </w:tr>
      <w:tr>
        <w:trPr>
          <w:trHeight w:val="28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81.</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Harbor-Cal S.D.</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California</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82.</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Harbor-Cal S.D. Partner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83.</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HHR AMW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84.</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HHR Assets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85.</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HHR Austin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86.</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HHR BC Key Largo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87.</w:t>
            </w: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HHR BT Holdings LLC</w:t>
            </w:r>
          </w:p>
        </w:tc>
        <w:tc>
          <w:tcPr>
            <w:tcW w:w="33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040"/>
          </w:cols>
          <w:pgMar w:left="520" w:top="104"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21.2</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3 of 8</w:t>
      </w:r>
    </w:p>
    <w:p>
      <w:pPr>
        <w:spacing w:after="0" w:line="19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HOST HOTELS &amp; RESORTS, L.P.</w:t>
      </w: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88.</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Beach House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89.</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BT Rio de Janeiro Investmimentos Hoteleiros Ltda.</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Brazil</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90.</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Calgary Holding ULC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97"/>
              </w:rPr>
              <w:t>British Columbia</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FIP I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92.</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FIP II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FIP III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94.</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FSO Land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95.</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FSO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96.</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GHDC GP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GHDC Limited Partnership</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98.</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GHSF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HP Waikiki GP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HP Waikiki, L.P.</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HRCP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Harbor Beach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Houston DT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JW Rio de Janeiro Investimentos Hoteleiros Ltda.</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Brazil</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Lauderdale Beach Limited Partnership</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Maui Golf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Naples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Naples Golf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Nashville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110.</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Powell Street, L.P.</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Powell GP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Rio Holdings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113.</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SB Condo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114.</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SB Holdings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115.</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Singer Island GP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116.</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Singer Island Limited Partnership</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117.</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St. Pete Beach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118.</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Waikiki Holdings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119.</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WRN GP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120.</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HHR WRN Limited Partnership</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Airport, Inc.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Amelia II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123.</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AP Canada Company</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Nova Scotia</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124.</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AP GP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125.</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AP LP</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126.</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Burlingame Hotel LP</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California</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127.</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Burlingame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128.</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Capital Resources LP</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129.</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Charlotte (Calgary) Company</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Nova Scotia</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130.</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Charlotte GP LLC</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Charlotte LP</w:t>
            </w:r>
          </w:p>
        </w:tc>
        <w:tc>
          <w:tcPr>
            <w:tcW w:w="31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040"/>
          </w:cols>
          <w:pgMar w:left="520" w:top="104"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21.2</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4 of 8</w:t>
      </w:r>
    </w:p>
    <w:p>
      <w:pPr>
        <w:spacing w:after="0" w:line="19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HOST HOTELS &amp; RESORTS, L.P.</w:t>
      </w: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132.</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Chicago Lakefront LLC</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133.</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Copley LP</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134.</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East Side LLC</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135.</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Gateway LP</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136.</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Headhouse Funding LLC</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137.</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Hotel Development LP</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138.</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Hotel Properties II Limited Partnership</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139.</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Hotel Properties Limited Partnership</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140.</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HT LP</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141.</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JWDC GP LLC</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142.</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Kea Lani LP</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143.</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Lenox LP</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144.</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Maui LP</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145.</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Mexpark LLC</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146.</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MHP II LLC</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147.</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MHP II, Inc.</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148.</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NGL LP</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149.</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OLS I LLC</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150.</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OLS I L.P.</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151.</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OLS II L.P.</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152.</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PLP LLC</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153.</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Polanco LLC</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154.</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Potomac LLC</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155.</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Properties I LLC</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156.</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Property Leasing LLC</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157.</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Reston LP</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158.</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Retirement Properties, L.P.</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159.</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Seattle LLC</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160.</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Suites Limited Partnership</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161.</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Suites LLC</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162.</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Times Square Hotel, L.P.</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New York</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163.</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Times Square Partner LLC</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164.</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Toronto Air Company</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7"/>
              </w:rPr>
              <w:t>Nova Scotia</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165.</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Toronto Airport GP LLC</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166.</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Toronto Airport LP</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167.</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Toronto EC Company</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7"/>
              </w:rPr>
              <w:t>Nova Scotia</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168.</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Toronto EC GP LLC</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169.</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HMC Toronto EC LP</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170.</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HMH Marina LLC</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171.</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HMH Restaurants LP</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172.</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HMH Rivers, L.P.</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173.</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HMH Rivers LLC</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174.</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HMH WTC LLC</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175.</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HMT Lessee Sub (SDM Hotel) LLC</w:t>
            </w:r>
          </w:p>
        </w:tc>
        <w:tc>
          <w:tcPr>
            <w:tcW w:w="32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040"/>
          </w:cols>
          <w:pgMar w:left="520" w:top="104"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21.2</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5 of 8</w:t>
      </w:r>
    </w:p>
    <w:p>
      <w:pPr>
        <w:spacing w:after="0" w:line="19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HOST HOTELS &amp; RESORTS, L.P.</w:t>
      </w: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176.</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HMT Lessee Sub I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177.</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HMT Lessee Sub II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178.</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HMT Lessee Sub III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179.</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HMT Lessee Sub IV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180.</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Atlanta Perimeter Ground GP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181.</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Atlanta Perimeter Ground LP</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182.</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Biscayne Bay Land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183.</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California Corporation</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184.</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Camelback I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185.</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Camelback II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186.</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Camelback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187.</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Capitol Hill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188.</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Cincinnati Hotel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189.</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Cincinnati II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190.</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City Center GP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Copley GP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192.</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Dallas Quorum Ground GP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193.</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Dallas Quorum Ground LP</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194.</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Denver Hotel Company</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195.</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Denver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196.</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East 86th Street Land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197.</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Financing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198.</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Fourth Avenue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199.</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GH Atlanta GP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200.</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Harbor Island Corporation</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201.</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Holding Business Trust</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Maryland</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202.</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Houston Airport GP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203.</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Houston Briar Oaks, L.P.</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204.</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Kea Lani GP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205.</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Kierland Developer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206.</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Kierland GP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207.</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Kierland LP</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208.</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Lenox Land GP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209.</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Maui Developer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210.</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Maui GP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   Host Maui Vacation Ownership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212.</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Minneapolis City Center Ground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213.</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Moscone GP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214.</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NY Downtown GP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215.</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of Boston, Ltd.</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216.</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of Houston 1979 LP</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217.</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of Houston, L.P.</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218.</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OP BN GP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219.</w:t>
            </w:r>
          </w:p>
        </w:tc>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Realty Hotel LLC</w:t>
            </w:r>
          </w:p>
        </w:tc>
        <w:tc>
          <w:tcPr>
            <w:tcW w:w="34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040"/>
          </w:cols>
          <w:pgMar w:left="520" w:top="104"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21.2</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6 of 8</w:t>
      </w:r>
    </w:p>
    <w:p>
      <w:pPr>
        <w:spacing w:after="0" w:line="19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HOST HOTELS &amp; RESORTS, L.P.</w:t>
      </w: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220.</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Realty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221.</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Realty Partnership, L.P.</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222.</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Restaurants GP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223.</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Reston GP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224.</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San Diego Hotel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225.</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San Diego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226.</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Santa Clara GP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227.</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South Coast GP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228.</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Swiss GP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229.</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Tampa GP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230.</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Times Square GP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231.</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Times Square LP</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232.</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Waltham Hotel LP</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233.</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Host Waltham II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234.</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Houston Airport Hotel Owner Limited Partnership</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235.</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Houston TRS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236.</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ACTRS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237.</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AH Maui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238.</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Asia/Australia Asset Manager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239.</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Asia/Australia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240.</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GP San Francisco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241.</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GP San Diego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242.</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GP South Coast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243.</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GP SR Houston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244.</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Houston AP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245.</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HRCP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246.</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I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247.</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II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248.</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III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249.</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Kierland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250.</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Lessee Cincinnati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251.</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Lessee CMBS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252.</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Lessee Denver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253.</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Lessee San Diego LP</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254.</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Lessee SNYT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255.</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Lessee South Coast LP</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256.</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Lessee SR Houston LP</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257.</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Lessee Waltham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258.</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Lessee West Seattle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259.</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Lessee WSeattle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260.</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LT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261.</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Powell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262.</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RHP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263.</w:t>
            </w: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San Diego HH Lessee GP LLC</w:t>
            </w:r>
          </w:p>
        </w:tc>
        <w:tc>
          <w:tcPr>
            <w:tcW w:w="2820" w:type="dxa"/>
            <w:vAlign w:val="bottom"/>
          </w:tcPr>
          <w:p>
            <w:pPr>
              <w:ind w:left="2140"/>
              <w:spacing w:after="0"/>
              <w:rPr>
                <w:sz w:val="20"/>
                <w:szCs w:val="20"/>
                <w:color w:val="auto"/>
              </w:rPr>
            </w:pPr>
            <w:r>
              <w:rPr>
                <w:rFonts w:ascii="Times New Roman" w:cs="Times New Roman" w:eastAsia="Times New Roman" w:hAnsi="Times New Roman"/>
                <w:sz w:val="18"/>
                <w:szCs w:val="18"/>
                <w:color w:val="auto"/>
                <w:w w:val="95"/>
              </w:rPr>
              <w:t>Delaware</w:t>
            </w:r>
          </w:p>
        </w:tc>
      </w:tr>
    </w:tbl>
    <w:p>
      <w:pPr>
        <w:sectPr>
          <w:pgSz w:w="11900" w:h="16838" w:orient="portrait"/>
          <w:cols w:equalWidth="0" w:num="1">
            <w:col w:w="11040"/>
          </w:cols>
          <w:pgMar w:left="520" w:top="104"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21.2</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7 of 8</w:t>
      </w:r>
    </w:p>
    <w:p>
      <w:pPr>
        <w:spacing w:after="0" w:line="19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HOST HOTELS &amp; RESORTS, L.P.</w:t>
      </w: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264.</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San Diego HH LP</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265.</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HST WRN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266.</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Jackson Hole Hotel Owner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267.</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Jackson Hole Hotel Tenant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268.</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JH Hwy 89 Land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269.</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JWDC Limited Partnership</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270.</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JWDC LP Holdings Limited Partnership</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271.</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Manchester Grand Resorts, Inc.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California</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272.</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Manchester Grand Resorts, L.P.</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California</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273.</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Marriott Mexico City Partnership, G.P.</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274.</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MFI Liquidating Agent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275.</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North Shore Bay TRS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276.</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North Shore Bay TRS Development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277.</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North Shore Bay TRS Farm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278.</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North Shore Bay TRS Waste Water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279.</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North Shore Bay Owner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280.</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North Shore Ocean Villas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281.</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Orlando TRS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282.</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Pacific Gateway, Ltd.</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California</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283.</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Philadelphia Airport Hotel Limited Partnership</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284.</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Philadelphia Airport Hotel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285.</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Philadelphia Mkt. Street Lessee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286.</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Phoenician Operating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287.</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Phoenician Residential I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288.</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Phoenician Residential II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289.</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Phoenician Residential III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290.</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Phoenician Residential IV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291.</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PM Financial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292.</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PM Financial LP</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293.</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Polserv S.A. de C.V.</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Mexico</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294.</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Potomac Hotel Limited Partnership</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295.</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Propco Savannah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296.</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RHP Foreign Lessee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297.</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Rockledge HMC BN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298.</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Rockledge HMT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299.</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Rockledge Hotel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300.</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Rockledge Hotel Properties, Inc.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301.</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Rockledge Minnesota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302.</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Rockledge NY Times Square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303.</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Rockledge Potomac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304.</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Rockledge Riverwalk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305.</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Rockledge Square 254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306.</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S.D. Hotels LLC</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307.</w:t>
            </w: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Santa Clara Host Hotel Limited Partnership</w:t>
            </w:r>
          </w:p>
        </w:tc>
        <w:tc>
          <w:tcPr>
            <w:tcW w:w="3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040"/>
          </w:cols>
          <w:pgMar w:left="520" w:top="104"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21.2</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 8 of 8</w:t>
      </w:r>
    </w:p>
    <w:p>
      <w:pPr>
        <w:spacing w:after="0" w:line="19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HOST HOTELS &amp; RESORTS, L.P.</w:t>
      </w: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308.</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Savannah TRS LLC</w:t>
            </w:r>
          </w:p>
        </w:tc>
        <w:tc>
          <w:tcPr>
            <w:tcW w:w="310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309.</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SB Hotel Owner GP, L.L.C.</w:t>
            </w:r>
          </w:p>
        </w:tc>
        <w:tc>
          <w:tcPr>
            <w:tcW w:w="310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SB Hotel Owner, L.P.</w:t>
            </w:r>
          </w:p>
        </w:tc>
        <w:tc>
          <w:tcPr>
            <w:tcW w:w="310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   Seattle Host Hotel Company LLC</w:t>
            </w:r>
          </w:p>
        </w:tc>
        <w:tc>
          <w:tcPr>
            <w:tcW w:w="310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SNYT LLC</w:t>
            </w:r>
          </w:p>
        </w:tc>
        <w:tc>
          <w:tcPr>
            <w:tcW w:w="310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 Coast Host Hotel LP</w:t>
            </w:r>
          </w:p>
        </w:tc>
        <w:tc>
          <w:tcPr>
            <w:tcW w:w="310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TRS NY Lender LLC</w:t>
            </w:r>
          </w:p>
        </w:tc>
        <w:tc>
          <w:tcPr>
            <w:tcW w:w="310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315.</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Tiburon Golf Ventures Limited Partnership</w:t>
            </w:r>
          </w:p>
        </w:tc>
        <w:tc>
          <w:tcPr>
            <w:tcW w:w="310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316.</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Timeport, L.P.</w:t>
            </w:r>
          </w:p>
        </w:tc>
        <w:tc>
          <w:tcPr>
            <w:tcW w:w="31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Georgia</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317.</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Times Square GP LLC</w:t>
            </w:r>
          </w:p>
        </w:tc>
        <w:tc>
          <w:tcPr>
            <w:tcW w:w="310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318.</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Timewell Group, L.P.</w:t>
            </w:r>
          </w:p>
        </w:tc>
        <w:tc>
          <w:tcPr>
            <w:tcW w:w="31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Georgia</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319.</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Turtle Bay Wastewater Treatment, LLC</w:t>
            </w:r>
          </w:p>
        </w:tc>
        <w:tc>
          <w:tcPr>
            <w:tcW w:w="310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320.</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VBS Propco LLC</w:t>
            </w:r>
          </w:p>
        </w:tc>
        <w:tc>
          <w:tcPr>
            <w:tcW w:w="310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W&amp;S Realty Corporation of Delaware</w:t>
            </w:r>
          </w:p>
        </w:tc>
        <w:tc>
          <w:tcPr>
            <w:tcW w:w="310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YBG Associates LP</w:t>
            </w:r>
          </w:p>
        </w:tc>
        <w:tc>
          <w:tcPr>
            <w:tcW w:w="3100" w:type="dxa"/>
            <w:vAlign w:val="bottom"/>
          </w:tcPr>
          <w:p>
            <w:pPr>
              <w:ind w:left="2420"/>
              <w:spacing w:after="0"/>
              <w:rPr>
                <w:sz w:val="20"/>
                <w:szCs w:val="20"/>
                <w:color w:val="auto"/>
              </w:rPr>
            </w:pPr>
            <w:r>
              <w:rPr>
                <w:rFonts w:ascii="Times New Roman" w:cs="Times New Roman" w:eastAsia="Times New Roman" w:hAnsi="Times New Roman"/>
                <w:sz w:val="18"/>
                <w:szCs w:val="18"/>
                <w:color w:val="auto"/>
                <w:w w:val="95"/>
              </w:rPr>
              <w:t>Delaware</w:t>
            </w:r>
          </w:p>
        </w:tc>
      </w:tr>
    </w:tbl>
    <w:p>
      <w:pPr>
        <w:sectPr>
          <w:pgSz w:w="11900" w:h="16838" w:orient="portrait"/>
          <w:cols w:equalWidth="0" w:num="1">
            <w:col w:w="11040"/>
          </w:cols>
          <w:pgMar w:left="520" w:top="104"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400"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333-286435) on Form S-3 and (Nos. 333-28683-99, 033-66622-99, 333-75055, 333-75057, 333-75059, 333-161488, 333-171607, 333-212569, 333-256333, and 333-279451) of Form S-8 of Host Hotels &amp; Resorts, Inc. and registration statement (No. 333-287982) on Form S-3 of Host Hotels &amp; Resorts, L.P. of (i) our reports dated February 25, 2026, with respect to the consolidated financial statements of Host Hotels &amp; Resorts, Inc. and the effectiveness of internal control over financial reporting and (ii) our report dated February 25, 2026 with respect to the consolidated financial statements of Host Hotels &amp; Resorts, 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ectPr>
          <w:pgSz w:w="11900" w:h="16838" w:orient="portrait"/>
          <w:cols w:equalWidth="0" w:num="1">
            <w:col w:w="11240"/>
          </w:cols>
          <w:pgMar w:left="320" w:top="1170"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F. Risoleo, certify that:</w:t>
      </w:r>
    </w:p>
    <w:p>
      <w:pPr>
        <w:spacing w:after="0" w:line="104"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Host Hotels &amp; Resorts,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58"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58"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960" w:right="80" w:hanging="656"/>
        <w:spacing w:after="0" w:line="258" w:lineRule="auto"/>
        <w:tabs>
          <w:tab w:leader="none" w:pos="195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960" w:right="220" w:hanging="656"/>
        <w:spacing w:after="0" w:line="258" w:lineRule="auto"/>
        <w:tabs>
          <w:tab w:leader="none" w:pos="19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960" w:hanging="656"/>
        <w:spacing w:after="0" w:line="258" w:lineRule="auto"/>
        <w:tabs>
          <w:tab w:leader="none" w:pos="195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Times New Roman" w:cs="Times New Roman" w:eastAsia="Times New Roman" w:hAnsi="Times New Roman"/>
          <w:sz w:val="18"/>
          <w:szCs w:val="18"/>
          <w:color w:val="auto"/>
        </w:rPr>
      </w:pPr>
    </w:p>
    <w:p>
      <w:pPr>
        <w:ind w:left="1960" w:right="320" w:hanging="656"/>
        <w:spacing w:after="0" w:line="258" w:lineRule="auto"/>
        <w:tabs>
          <w:tab w:leader="none" w:pos="19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660" w:right="80" w:hanging="652"/>
        <w:spacing w:after="0" w:line="266"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60" w:right="80" w:hanging="656"/>
        <w:spacing w:after="0" w:line="250" w:lineRule="auto"/>
        <w:tabs>
          <w:tab w:leader="none" w:pos="195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2026</w:t>
      </w:r>
    </w:p>
    <w:p>
      <w:pPr>
        <w:spacing w:after="0" w:line="27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/s/ JAMES F. RISOLEO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410591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3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James F. Risoleo</w:t>
      </w:r>
    </w:p>
    <w:p>
      <w:pPr>
        <w:spacing w:after="0" w:line="3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i w:val="1"/>
          <w:iCs w:val="1"/>
          <w:color w:val="auto"/>
        </w:rPr>
        <w:t>President, Chief Executive Officer</w:t>
      </w:r>
    </w:p>
    <w:p>
      <w:pPr>
        <w:sectPr>
          <w:pgSz w:w="11900" w:h="16838" w:orient="portrait"/>
          <w:cols w:equalWidth="0" w:num="1">
            <w:col w:w="11240"/>
          </w:cols>
          <w:pgMar w:left="320" w:top="1143"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Sourav Ghosh, certify that:</w:t>
      </w:r>
    </w:p>
    <w:p>
      <w:pPr>
        <w:spacing w:after="0" w:line="104"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Host Hotels &amp; Resorts,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58"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58"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960" w:right="80" w:hanging="656"/>
        <w:spacing w:after="0" w:line="258" w:lineRule="auto"/>
        <w:tabs>
          <w:tab w:leader="none" w:pos="195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960" w:right="220" w:hanging="656"/>
        <w:spacing w:after="0" w:line="258" w:lineRule="auto"/>
        <w:tabs>
          <w:tab w:leader="none" w:pos="19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960" w:hanging="656"/>
        <w:spacing w:after="0" w:line="258" w:lineRule="auto"/>
        <w:tabs>
          <w:tab w:leader="none" w:pos="195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Times New Roman" w:cs="Times New Roman" w:eastAsia="Times New Roman" w:hAnsi="Times New Roman"/>
          <w:sz w:val="18"/>
          <w:szCs w:val="18"/>
          <w:color w:val="auto"/>
        </w:rPr>
      </w:pPr>
    </w:p>
    <w:p>
      <w:pPr>
        <w:ind w:left="1960" w:right="320" w:hanging="656"/>
        <w:spacing w:after="0" w:line="258" w:lineRule="auto"/>
        <w:tabs>
          <w:tab w:leader="none" w:pos="19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660" w:right="80" w:hanging="652"/>
        <w:spacing w:after="0" w:line="266"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60" w:right="80" w:hanging="656"/>
        <w:spacing w:after="0" w:line="250" w:lineRule="auto"/>
        <w:tabs>
          <w:tab w:leader="none" w:pos="195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2026</w:t>
      </w:r>
    </w:p>
    <w:p>
      <w:pPr>
        <w:spacing w:after="0" w:line="17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 SOURAV GHOSH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410591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3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Sourav Ghosh</w:t>
      </w:r>
    </w:p>
    <w:p>
      <w:pPr>
        <w:spacing w:after="0" w:line="50" w:lineRule="exact"/>
        <w:rPr>
          <w:sz w:val="20"/>
          <w:szCs w:val="20"/>
          <w:color w:val="auto"/>
        </w:rPr>
      </w:pPr>
    </w:p>
    <w:p>
      <w:pPr>
        <w:jc w:val="center"/>
        <w:ind w:right="476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&amp;</w:t>
      </w:r>
    </w:p>
    <w:p>
      <w:pPr>
        <w:spacing w:after="0" w:line="31" w:lineRule="exact"/>
        <w:rPr>
          <w:sz w:val="20"/>
          <w:szCs w:val="20"/>
          <w:color w:val="auto"/>
        </w:rPr>
      </w:pPr>
    </w:p>
    <w:p>
      <w:pPr>
        <w:jc w:val="center"/>
        <w:ind w:right="476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ectPr>
          <w:pgSz w:w="11900" w:h="16838" w:orient="portrait"/>
          <w:cols w:equalWidth="0" w:num="1">
            <w:col w:w="11240"/>
          </w:cols>
          <w:pgMar w:left="320" w:top="1143"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F. Risoleo, certify that:</w:t>
      </w:r>
    </w:p>
    <w:p>
      <w:pPr>
        <w:spacing w:after="0" w:line="104"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Host Hotels &amp; Resorts, L.P.;</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58"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58"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960" w:right="80" w:hanging="656"/>
        <w:spacing w:after="0" w:line="258" w:lineRule="auto"/>
        <w:tabs>
          <w:tab w:leader="none" w:pos="195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960" w:right="220" w:hanging="656"/>
        <w:spacing w:after="0" w:line="258" w:lineRule="auto"/>
        <w:tabs>
          <w:tab w:leader="none" w:pos="19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960" w:hanging="656"/>
        <w:spacing w:after="0" w:line="258" w:lineRule="auto"/>
        <w:tabs>
          <w:tab w:leader="none" w:pos="195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Times New Roman" w:cs="Times New Roman" w:eastAsia="Times New Roman" w:hAnsi="Times New Roman"/>
          <w:sz w:val="18"/>
          <w:szCs w:val="18"/>
          <w:color w:val="auto"/>
        </w:rPr>
      </w:pPr>
    </w:p>
    <w:p>
      <w:pPr>
        <w:ind w:left="1960" w:right="320" w:hanging="656"/>
        <w:spacing w:after="0" w:line="258" w:lineRule="auto"/>
        <w:tabs>
          <w:tab w:leader="none" w:pos="19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660" w:right="80" w:hanging="652"/>
        <w:spacing w:after="0" w:line="266"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60" w:right="80" w:hanging="656"/>
        <w:spacing w:after="0" w:line="250" w:lineRule="auto"/>
        <w:tabs>
          <w:tab w:leader="none" w:pos="195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2026</w:t>
      </w:r>
    </w:p>
    <w:p>
      <w:pPr>
        <w:spacing w:after="0" w:line="27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/s/ JAMES F. RISOLEO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410591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3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James F. Risoleo</w:t>
      </w:r>
    </w:p>
    <w:p>
      <w:pPr>
        <w:spacing w:after="0" w:line="5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i w:val="1"/>
          <w:iCs w:val="1"/>
          <w:color w:val="auto"/>
        </w:rPr>
        <w:t>President, Chief Executive Officer of</w:t>
      </w:r>
    </w:p>
    <w:p>
      <w:pPr>
        <w:spacing w:after="0" w:line="3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i w:val="1"/>
          <w:iCs w:val="1"/>
          <w:color w:val="auto"/>
        </w:rPr>
        <w:t>Host Hotels &amp; Resorts, Inc.,</w:t>
      </w:r>
    </w:p>
    <w:p>
      <w:pPr>
        <w:spacing w:after="0" w:line="2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i w:val="1"/>
          <w:iCs w:val="1"/>
          <w:color w:val="auto"/>
        </w:rPr>
        <w:t>general partner of Host Hotels &amp; Resorts, L.P.</w:t>
      </w:r>
    </w:p>
    <w:p>
      <w:pPr>
        <w:sectPr>
          <w:pgSz w:w="11900" w:h="16838" w:orient="portrait"/>
          <w:cols w:equalWidth="0" w:num="1">
            <w:col w:w="11240"/>
          </w:cols>
          <w:pgMar w:left="320" w:top="1143"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1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Sourav Ghosh, certify that:</w:t>
      </w:r>
    </w:p>
    <w:p>
      <w:pPr>
        <w:spacing w:after="0" w:line="104"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Host Hotels &amp; Resorts, L.P.;</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58"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58"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960" w:right="80" w:hanging="656"/>
        <w:spacing w:after="0" w:line="258" w:lineRule="auto"/>
        <w:tabs>
          <w:tab w:leader="none" w:pos="195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960" w:right="220" w:hanging="656"/>
        <w:spacing w:after="0" w:line="258" w:lineRule="auto"/>
        <w:tabs>
          <w:tab w:leader="none" w:pos="19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960" w:hanging="656"/>
        <w:spacing w:after="0" w:line="258" w:lineRule="auto"/>
        <w:tabs>
          <w:tab w:leader="none" w:pos="195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Times New Roman" w:cs="Times New Roman" w:eastAsia="Times New Roman" w:hAnsi="Times New Roman"/>
          <w:sz w:val="18"/>
          <w:szCs w:val="18"/>
          <w:color w:val="auto"/>
        </w:rPr>
      </w:pPr>
    </w:p>
    <w:p>
      <w:pPr>
        <w:ind w:left="1960" w:right="320" w:hanging="656"/>
        <w:spacing w:after="0" w:line="258" w:lineRule="auto"/>
        <w:tabs>
          <w:tab w:leader="none" w:pos="19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660" w:right="80" w:hanging="652"/>
        <w:spacing w:after="0" w:line="266"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60" w:right="80" w:hanging="656"/>
        <w:spacing w:after="0" w:line="250" w:lineRule="auto"/>
        <w:tabs>
          <w:tab w:leader="none" w:pos="195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2026</w:t>
      </w:r>
    </w:p>
    <w:p>
      <w:pPr>
        <w:spacing w:after="0" w:line="17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 SOURAV GHOSH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410591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3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Sourav Ghosh</w:t>
      </w:r>
    </w:p>
    <w:p>
      <w:pPr>
        <w:spacing w:after="0" w:line="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&amp; Chief Financial Officer of Host Hotels &amp; Resorts, Inc.,</w:t>
      </w:r>
    </w:p>
    <w:p>
      <w:pPr>
        <w:spacing w:after="0" w:line="3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i w:val="1"/>
          <w:iCs w:val="1"/>
          <w:color w:val="auto"/>
        </w:rPr>
        <w:t>general partner of Host Hotels &amp; Resorts, L.P.</w:t>
      </w:r>
    </w:p>
    <w:p>
      <w:pPr>
        <w:sectPr>
          <w:pgSz w:w="11900" w:h="16838" w:orient="portrait"/>
          <w:cols w:equalWidth="0" w:num="1">
            <w:col w:w="11240"/>
          </w:cols>
          <w:pgMar w:left="320" w:top="1143"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906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 1350, as Adopted Pursuant to Section 906 of the Sarbanes-Oxley Act of 2002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18 U.S.C. § 1350, adopted pursuant to Section 906 of the Sarbanes-Oxley Act of 2002, the undersigned officers of Host Hotels &amp; Resorts,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certify, to such officers’ knowledge, that:</w:t>
      </w:r>
    </w:p>
    <w:p>
      <w:pPr>
        <w:spacing w:after="0" w:line="193" w:lineRule="exact"/>
        <w:rPr>
          <w:sz w:val="20"/>
          <w:szCs w:val="20"/>
          <w:color w:val="auto"/>
        </w:rPr>
      </w:pPr>
    </w:p>
    <w:p>
      <w:pPr>
        <w:ind w:left="580" w:right="380" w:hanging="248"/>
        <w:spacing w:after="0" w:line="266" w:lineRule="auto"/>
        <w:tabs>
          <w:tab w:leader="none" w:pos="57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year ended December 31, 2025 (the “Report”) fully complies with the requirements of Section 13(a) or Section 15(d) of the Securities Exchange Act of 1934, as amended; and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(ii)the information contained in the Report fairly presents, in all material respects, the financial condition and results of operations of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2026</w:t>
      </w:r>
    </w:p>
    <w:p>
      <w:pPr>
        <w:spacing w:after="0" w:line="266" w:lineRule="exact"/>
        <w:rPr>
          <w:sz w:val="20"/>
          <w:szCs w:val="20"/>
          <w:color w:val="auto"/>
        </w:rPr>
      </w:pPr>
    </w:p>
    <w:p>
      <w:pPr>
        <w:jc w:val="center"/>
        <w:ind w:left="4760"/>
        <w:spacing w:after="0"/>
        <w:rPr>
          <w:sz w:val="20"/>
          <w:szCs w:val="20"/>
          <w:color w:val="auto"/>
        </w:rPr>
      </w:pPr>
      <w:r>
        <w:rPr>
          <w:rFonts w:ascii="Times New Roman" w:cs="Times New Roman" w:eastAsia="Times New Roman" w:hAnsi="Times New Roman"/>
          <w:sz w:val="18"/>
          <w:szCs w:val="18"/>
          <w:color w:val="auto"/>
        </w:rPr>
        <w:t>/s/ JAMES F. RISOLEO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26035</wp:posOffset>
            </wp:positionV>
            <wp:extent cx="410591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39" w:lineRule="exact"/>
        <w:rPr>
          <w:sz w:val="20"/>
          <w:szCs w:val="20"/>
          <w:color w:val="auto"/>
        </w:rPr>
      </w:pPr>
    </w:p>
    <w:p>
      <w:pPr>
        <w:jc w:val="center"/>
        <w:ind w:left="4760"/>
        <w:spacing w:after="0"/>
        <w:rPr>
          <w:sz w:val="20"/>
          <w:szCs w:val="20"/>
          <w:color w:val="auto"/>
        </w:rPr>
      </w:pPr>
      <w:r>
        <w:rPr>
          <w:rFonts w:ascii="Times New Roman" w:cs="Times New Roman" w:eastAsia="Times New Roman" w:hAnsi="Times New Roman"/>
          <w:sz w:val="18"/>
          <w:szCs w:val="18"/>
          <w:b w:val="1"/>
          <w:bCs w:val="1"/>
          <w:color w:val="auto"/>
        </w:rPr>
        <w:t>James F. Risoleo</w:t>
      </w:r>
    </w:p>
    <w:p>
      <w:pPr>
        <w:spacing w:after="0" w:line="50" w:lineRule="exact"/>
        <w:rPr>
          <w:sz w:val="20"/>
          <w:szCs w:val="20"/>
          <w:color w:val="auto"/>
        </w:rPr>
      </w:pPr>
    </w:p>
    <w:p>
      <w:pPr>
        <w:jc w:val="center"/>
        <w:ind w:left="476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33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SOURAV GHOSH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26035</wp:posOffset>
            </wp:positionV>
            <wp:extent cx="410591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3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Sourav Ghosh</w:t>
      </w:r>
    </w:p>
    <w:p>
      <w:pPr>
        <w:spacing w:after="0" w:line="5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ectPr>
          <w:pgSz w:w="11900" w:h="16838" w:orient="portrait"/>
          <w:cols w:equalWidth="0" w:num="1">
            <w:col w:w="11240"/>
          </w:cols>
          <w:pgMar w:left="320" w:top="1143"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906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 1350, as Adopted Pursuant to Section 906 of the Sarbanes-Oxley Act of 2002</w:t>
      </w:r>
    </w:p>
    <w:p>
      <w:pPr>
        <w:spacing w:after="0" w:line="21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18 U.S.C. § 1350, adopted pursuant to Section 906 of the Sarbanes-Oxley Act of 2002, the undersigned officers of Host Hotels &amp; Resorts, Inc., the general partner of Host Hotels &amp; Resorts, L.P., (the “Company”) hereby certify, to such officers’ knowledge, that:</w:t>
      </w:r>
    </w:p>
    <w:p>
      <w:pPr>
        <w:spacing w:after="0" w:line="148" w:lineRule="exact"/>
        <w:rPr>
          <w:sz w:val="20"/>
          <w:szCs w:val="20"/>
          <w:color w:val="auto"/>
        </w:rPr>
      </w:pPr>
    </w:p>
    <w:p>
      <w:pPr>
        <w:ind w:left="580" w:right="380" w:hanging="248"/>
        <w:spacing w:after="0" w:line="266" w:lineRule="auto"/>
        <w:tabs>
          <w:tab w:leader="none" w:pos="57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year ended December 31, 2025 (the “Report”) fully complies with the requirements of Section 13(a) or Section 15(d) of the Securities Exchange Act of 1934, as amended; and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(ii)the information contained in the Report fairly presents, in all material respects, the financial condition and results of operations of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2026</w:t>
      </w:r>
    </w:p>
    <w:p>
      <w:pPr>
        <w:spacing w:after="0" w:line="26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JAMES F. RISOLEO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26035</wp:posOffset>
            </wp:positionV>
            <wp:extent cx="41059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39"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James F. Risoleo</w:t>
      </w:r>
    </w:p>
    <w:p>
      <w:pPr>
        <w:spacing w:after="0" w:line="6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 of Host Hotels &amp; Resorts, Inc.,</w:t>
      </w:r>
    </w:p>
    <w:p>
      <w:pPr>
        <w:spacing w:after="0" w:line="3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i w:val="1"/>
          <w:iCs w:val="1"/>
          <w:color w:val="auto"/>
        </w:rPr>
        <w:t>general partner of Host Hotels &amp; Resorts, L.P.</w:t>
      </w:r>
    </w:p>
    <w:p>
      <w:pPr>
        <w:spacing w:after="0" w:line="32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SOURAV GHOSH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26035</wp:posOffset>
            </wp:positionV>
            <wp:extent cx="410591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spacing w:after="0" w:line="3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Sourav Ghosh</w:t>
      </w:r>
    </w:p>
    <w:p>
      <w:pPr>
        <w:spacing w:after="0" w:line="50" w:lineRule="exact"/>
        <w:rPr>
          <w:sz w:val="20"/>
          <w:szCs w:val="20"/>
          <w:color w:val="auto"/>
        </w:rPr>
      </w:pPr>
    </w:p>
    <w:p>
      <w:pPr>
        <w:jc w:val="center"/>
        <w:ind w:left="476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 of Host Hotels &amp; Resorts, Inc., general partner of Host Hotels</w:t>
      </w:r>
    </w:p>
    <w:p>
      <w:pPr>
        <w:spacing w:after="0" w:line="20" w:lineRule="exact"/>
        <w:rPr>
          <w:sz w:val="20"/>
          <w:szCs w:val="20"/>
          <w:color w:val="auto"/>
        </w:rPr>
      </w:pPr>
    </w:p>
    <w:p>
      <w:pPr>
        <w:jc w:val="center"/>
        <w:ind w:left="4760"/>
        <w:spacing w:after="0"/>
        <w:rPr>
          <w:sz w:val="20"/>
          <w:szCs w:val="20"/>
          <w:color w:val="auto"/>
        </w:rPr>
      </w:pPr>
      <w:r>
        <w:rPr>
          <w:rFonts w:ascii="Times New Roman" w:cs="Times New Roman" w:eastAsia="Times New Roman" w:hAnsi="Times New Roman"/>
          <w:sz w:val="18"/>
          <w:szCs w:val="18"/>
          <w:b w:val="1"/>
          <w:bCs w:val="1"/>
          <w:i w:val="1"/>
          <w:iCs w:val="1"/>
          <w:color w:val="auto"/>
        </w:rPr>
        <w:t>&amp; Resorts, L.P.</w:t>
      </w:r>
    </w:p>
    <w:p>
      <w:pPr>
        <w:sectPr>
          <w:pgSz w:w="11900" w:h="16838" w:orient="portrait"/>
          <w:cols w:equalWidth="0" w:num="1">
            <w:col w:w="11240"/>
          </w:cols>
          <w:pgMar w:left="320" w:top="1143"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HOST HOTELS &amp; RESORTS,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GROUND LEASE SUMMARY</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As at December 31, 2025</w:t>
            </w: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Hotel</w:t>
            </w:r>
          </w:p>
        </w:tc>
        <w:tc>
          <w:tcPr>
            <w:tcW w:w="106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No. of rooms</w:t>
            </w:r>
          </w:p>
        </w:tc>
        <w:tc>
          <w:tcPr>
            <w:tcW w:w="180" w:type="dxa"/>
            <w:vAlign w:val="bottom"/>
          </w:tcPr>
          <w:p>
            <w:pPr>
              <w:spacing w:after="0"/>
              <w:rPr>
                <w:sz w:val="11"/>
                <w:szCs w:val="11"/>
                <w:color w:val="auto"/>
              </w:rPr>
            </w:pPr>
          </w:p>
        </w:tc>
        <w:tc>
          <w:tcPr>
            <w:tcW w:w="134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Minimum rent</w:t>
            </w:r>
          </w:p>
        </w:tc>
        <w:tc>
          <w:tcPr>
            <w:tcW w:w="14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Current expiration</w:t>
            </w:r>
          </w:p>
        </w:tc>
        <w:tc>
          <w:tcPr>
            <w:tcW w:w="2040" w:type="dxa"/>
            <w:vAlign w:val="bottom"/>
          </w:tcPr>
          <w:p>
            <w:pPr>
              <w:jc w:val="right"/>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Expiration after all potential</w:t>
            </w:r>
          </w:p>
        </w:tc>
        <w:tc>
          <w:tcPr>
            <w:tcW w:w="0" w:type="dxa"/>
            <w:vAlign w:val="bottom"/>
          </w:tcPr>
          <w:p>
            <w:pPr>
              <w:spacing w:after="0"/>
              <w:rPr>
                <w:sz w:val="1"/>
                <w:szCs w:val="1"/>
                <w:color w:val="auto"/>
              </w:rPr>
            </w:pPr>
          </w:p>
        </w:tc>
      </w:tr>
      <w:tr>
        <w:trPr>
          <w:trHeight w:val="202"/>
        </w:trPr>
        <w:tc>
          <w:tcPr>
            <w:tcW w:w="280" w:type="dxa"/>
            <w:vAlign w:val="bottom"/>
            <w:tcBorders>
              <w:bottom w:val="single" w:sz="8" w:color="CFF0FC"/>
            </w:tcBorders>
          </w:tcPr>
          <w:p>
            <w:pPr>
              <w:spacing w:after="0"/>
              <w:rPr>
                <w:sz w:val="17"/>
                <w:szCs w:val="17"/>
                <w:color w:val="auto"/>
              </w:rPr>
            </w:pPr>
          </w:p>
        </w:tc>
        <w:tc>
          <w:tcPr>
            <w:tcW w:w="484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2040" w:type="dxa"/>
            <w:vAlign w:val="bottom"/>
            <w:tcBorders>
              <w:bottom w:val="single" w:sz="8" w:color="auto"/>
            </w:tcBorders>
          </w:tcPr>
          <w:p>
            <w:pPr>
              <w:jc w:val="right"/>
              <w:ind w:right="68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options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50"/>
        </w:trPr>
        <w:tc>
          <w:tcPr>
            <w:tcW w:w="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w w:val="99"/>
              </w:rPr>
              <w:t>1</w:t>
            </w:r>
          </w:p>
        </w:tc>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Boston Marriott Copley Place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20"/>
              <w:spacing w:after="0" w:line="184" w:lineRule="exact"/>
              <w:rPr>
                <w:sz w:val="20"/>
                <w:szCs w:val="20"/>
                <w:color w:val="auto"/>
              </w:rPr>
            </w:pPr>
            <w:r>
              <w:rPr>
                <w:rFonts w:ascii="Times New Roman" w:cs="Times New Roman" w:eastAsia="Times New Roman" w:hAnsi="Times New Roman"/>
                <w:sz w:val="16"/>
                <w:szCs w:val="16"/>
                <w:color w:val="auto"/>
              </w:rPr>
              <w:t>N/A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²</w:t>
            </w:r>
            <w:r>
              <w:rPr>
                <w:rFonts w:ascii="MS PGothic" w:cs="MS PGothic" w:eastAsia="MS PGothic" w:hAnsi="MS PGothic"/>
                <w:sz w:val="16"/>
                <w:szCs w:val="16"/>
                <w:color w:val="auto"/>
              </w:rPr>
              <w:t>⁾</w:t>
            </w:r>
          </w:p>
        </w:tc>
        <w:tc>
          <w:tcPr>
            <w:tcW w:w="14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12/31/2123</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12/31/2123</w:t>
            </w:r>
          </w:p>
        </w:tc>
        <w:tc>
          <w:tcPr>
            <w:tcW w:w="0" w:type="dxa"/>
            <w:vAlign w:val="bottom"/>
          </w:tcPr>
          <w:p>
            <w:pPr>
              <w:spacing w:after="0"/>
              <w:rPr>
                <w:sz w:val="1"/>
                <w:szCs w:val="1"/>
                <w:color w:val="auto"/>
              </w:rPr>
            </w:pPr>
          </w:p>
        </w:tc>
      </w:tr>
      <w:tr>
        <w:trPr>
          <w:trHeight w:val="224"/>
        </w:trPr>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2 Coronado Island Marriott Resort &amp; Spa</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1,565,770</w:t>
            </w: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10/31/2062</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10/31/2078</w:t>
            </w: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3 Denver Marriott West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8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160,000</w:t>
            </w:r>
          </w:p>
        </w:tc>
        <w:tc>
          <w:tcPr>
            <w:tcW w:w="14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12/28/2028</w:t>
            </w:r>
          </w:p>
        </w:tc>
        <w:tc>
          <w:tcPr>
            <w:tcW w:w="2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12/28/2058</w:t>
            </w:r>
          </w:p>
        </w:tc>
        <w:tc>
          <w:tcPr>
            <w:tcW w:w="0" w:type="dxa"/>
            <w:vAlign w:val="bottom"/>
          </w:tcPr>
          <w:p>
            <w:pPr>
              <w:spacing w:after="0"/>
              <w:rPr>
                <w:sz w:val="1"/>
                <w:szCs w:val="1"/>
                <w:color w:val="auto"/>
              </w:rPr>
            </w:pPr>
          </w:p>
        </w:tc>
      </w:tr>
      <w:tr>
        <w:trPr>
          <w:trHeight w:val="224"/>
        </w:trPr>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4 Houston Airport Marriott at George Bush Intercontinental</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80" w:type="dxa"/>
            <w:vAlign w:val="bottom"/>
          </w:tcPr>
          <w:p>
            <w:pPr>
              <w:spacing w:after="0"/>
              <w:rPr>
                <w:sz w:val="19"/>
                <w:szCs w:val="19"/>
                <w:color w:val="auto"/>
              </w:rPr>
            </w:pP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1,560,000</w:t>
            </w: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10/31/2053</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10/31/2053</w:t>
            </w: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5 Houston Marriott Medical Center/Museum District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8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160,000</w:t>
            </w:r>
          </w:p>
        </w:tc>
        <w:tc>
          <w:tcPr>
            <w:tcW w:w="14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12/28/2029</w:t>
            </w:r>
          </w:p>
        </w:tc>
        <w:tc>
          <w:tcPr>
            <w:tcW w:w="2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12/28/2059</w:t>
            </w:r>
          </w:p>
        </w:tc>
        <w:tc>
          <w:tcPr>
            <w:tcW w:w="0" w:type="dxa"/>
            <w:vAlign w:val="bottom"/>
          </w:tcPr>
          <w:p>
            <w:pPr>
              <w:spacing w:after="0"/>
              <w:rPr>
                <w:sz w:val="1"/>
                <w:szCs w:val="1"/>
                <w:color w:val="auto"/>
              </w:rPr>
            </w:pPr>
          </w:p>
        </w:tc>
      </w:tr>
      <w:tr>
        <w:trPr>
          <w:trHeight w:val="223"/>
        </w:trPr>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6 Manchester Grand Hyatt San Diego</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80" w:type="dxa"/>
            <w:vAlign w:val="bottom"/>
          </w:tcPr>
          <w:p>
            <w:pPr>
              <w:spacing w:after="0"/>
              <w:rPr>
                <w:sz w:val="19"/>
                <w:szCs w:val="19"/>
                <w:color w:val="auto"/>
              </w:rPr>
            </w:pP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6,600,000</w:t>
            </w: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5/31/2067</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5/31/2083</w:t>
            </w: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7 Marina del Rey Marriott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8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2,082,082</w:t>
            </w:r>
          </w:p>
        </w:tc>
        <w:tc>
          <w:tcPr>
            <w:tcW w:w="14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3/31/2043</w:t>
            </w:r>
          </w:p>
        </w:tc>
        <w:tc>
          <w:tcPr>
            <w:tcW w:w="2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3/31/2043</w:t>
            </w:r>
          </w:p>
        </w:tc>
        <w:tc>
          <w:tcPr>
            <w:tcW w:w="0" w:type="dxa"/>
            <w:vAlign w:val="bottom"/>
          </w:tcPr>
          <w:p>
            <w:pPr>
              <w:spacing w:after="0"/>
              <w:rPr>
                <w:sz w:val="1"/>
                <w:szCs w:val="1"/>
                <w:color w:val="auto"/>
              </w:rPr>
            </w:pPr>
          </w:p>
        </w:tc>
      </w:tr>
      <w:tr>
        <w:trPr>
          <w:trHeight w:val="224"/>
        </w:trPr>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8 Marriott Downtown at CF Toronto Eaton Centre</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80" w:type="dxa"/>
            <w:vAlign w:val="bottom"/>
          </w:tcPr>
          <w:p>
            <w:pPr>
              <w:spacing w:after="0"/>
              <w:rPr>
                <w:sz w:val="19"/>
                <w:szCs w:val="19"/>
                <w:color w:val="auto"/>
              </w:rPr>
            </w:pP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364,300</w:t>
            </w: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9/20/2082</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9/20/2082</w:t>
            </w: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9 Marriott Marquis San Diego Marina</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18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7,650,541</w:t>
            </w:r>
          </w:p>
        </w:tc>
        <w:tc>
          <w:tcPr>
            <w:tcW w:w="14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11/30/2061</w:t>
            </w:r>
          </w:p>
        </w:tc>
        <w:tc>
          <w:tcPr>
            <w:tcW w:w="2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11/30/2083</w:t>
            </w:r>
          </w:p>
        </w:tc>
        <w:tc>
          <w:tcPr>
            <w:tcW w:w="0" w:type="dxa"/>
            <w:vAlign w:val="bottom"/>
          </w:tcPr>
          <w:p>
            <w:pPr>
              <w:spacing w:after="0"/>
              <w:rPr>
                <w:sz w:val="1"/>
                <w:szCs w:val="1"/>
                <w:color w:val="auto"/>
              </w:rPr>
            </w:pPr>
          </w:p>
        </w:tc>
      </w:tr>
      <w:tr>
        <w:trPr>
          <w:trHeight w:val="223"/>
        </w:trPr>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10 Newark Liberty International Airport Marriott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80" w:type="dxa"/>
            <w:vAlign w:val="bottom"/>
          </w:tcPr>
          <w:p>
            <w:pPr>
              <w:spacing w:after="0"/>
              <w:rPr>
                <w:sz w:val="19"/>
                <w:szCs w:val="19"/>
                <w:color w:val="auto"/>
              </w:rPr>
            </w:pP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2,676,119</w:t>
            </w: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12/31/2055</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12/31/2055</w:t>
            </w: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11 Philadelphia Airport Marriott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8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1,509,994</w:t>
            </w:r>
          </w:p>
        </w:tc>
        <w:tc>
          <w:tcPr>
            <w:tcW w:w="14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6/29/2045</w:t>
            </w:r>
          </w:p>
        </w:tc>
        <w:tc>
          <w:tcPr>
            <w:tcW w:w="2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6/29/2045</w:t>
            </w:r>
          </w:p>
        </w:tc>
        <w:tc>
          <w:tcPr>
            <w:tcW w:w="0" w:type="dxa"/>
            <w:vAlign w:val="bottom"/>
          </w:tcPr>
          <w:p>
            <w:pPr>
              <w:spacing w:after="0"/>
              <w:rPr>
                <w:sz w:val="1"/>
                <w:szCs w:val="1"/>
                <w:color w:val="auto"/>
              </w:rPr>
            </w:pPr>
          </w:p>
        </w:tc>
      </w:tr>
      <w:tr>
        <w:trPr>
          <w:trHeight w:val="224"/>
        </w:trPr>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12 San Antonio Marriott Rivercenter</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Pr>
          <w:p>
            <w:pPr>
              <w:spacing w:after="0"/>
              <w:rPr>
                <w:sz w:val="19"/>
                <w:szCs w:val="19"/>
                <w:color w:val="auto"/>
              </w:rPr>
            </w:pP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700,000</w:t>
            </w: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12/31/2033</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12/31/2063</w:t>
            </w: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13 San Francisco Marriott Marquis</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8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1,500,000</w:t>
            </w:r>
          </w:p>
        </w:tc>
        <w:tc>
          <w:tcPr>
            <w:tcW w:w="14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8/25/2046</w:t>
            </w:r>
          </w:p>
        </w:tc>
        <w:tc>
          <w:tcPr>
            <w:tcW w:w="2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8/25/2076</w:t>
            </w:r>
          </w:p>
        </w:tc>
        <w:tc>
          <w:tcPr>
            <w:tcW w:w="0" w:type="dxa"/>
            <w:vAlign w:val="bottom"/>
          </w:tcPr>
          <w:p>
            <w:pPr>
              <w:spacing w:after="0"/>
              <w:rPr>
                <w:sz w:val="1"/>
                <w:szCs w:val="1"/>
                <w:color w:val="auto"/>
              </w:rPr>
            </w:pPr>
          </w:p>
        </w:tc>
      </w:tr>
      <w:tr>
        <w:trPr>
          <w:trHeight w:val="223"/>
        </w:trPr>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14 Santa Clara Marriott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80" w:type="dxa"/>
            <w:vAlign w:val="bottom"/>
          </w:tcPr>
          <w:p>
            <w:pPr>
              <w:spacing w:after="0"/>
              <w:rPr>
                <w:sz w:val="19"/>
                <w:szCs w:val="19"/>
                <w:color w:val="auto"/>
              </w:rPr>
            </w:pP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100,025</w:t>
            </w: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11/30/2028</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11/30/2058</w:t>
            </w: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15 Tampa Airport Marriott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8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1,545,291</w:t>
            </w:r>
          </w:p>
        </w:tc>
        <w:tc>
          <w:tcPr>
            <w:tcW w:w="14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12/31/2043</w:t>
            </w:r>
          </w:p>
        </w:tc>
        <w:tc>
          <w:tcPr>
            <w:tcW w:w="2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12/31/2043</w:t>
            </w:r>
          </w:p>
        </w:tc>
        <w:tc>
          <w:tcPr>
            <w:tcW w:w="0" w:type="dxa"/>
            <w:vAlign w:val="bottom"/>
          </w:tcPr>
          <w:p>
            <w:pPr>
              <w:spacing w:after="0"/>
              <w:rPr>
                <w:sz w:val="1"/>
                <w:szCs w:val="1"/>
                <w:color w:val="auto"/>
              </w:rPr>
            </w:pPr>
          </w:p>
        </w:tc>
      </w:tr>
      <w:tr>
        <w:trPr>
          <w:trHeight w:val="223"/>
        </w:trPr>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16 The Ritz-Carlton, Marina del Rey</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80" w:type="dxa"/>
            <w:vAlign w:val="bottom"/>
          </w:tcPr>
          <w:p>
            <w:pPr>
              <w:spacing w:after="0"/>
              <w:rPr>
                <w:sz w:val="19"/>
                <w:szCs w:val="19"/>
                <w:color w:val="auto"/>
              </w:rPr>
            </w:pP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2,078,916</w:t>
            </w: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7/29/2067</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7/29/2067</w:t>
            </w: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17 The Ritz-Carlton, Tysons Corner</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8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1,043,459</w:t>
            </w:r>
          </w:p>
        </w:tc>
        <w:tc>
          <w:tcPr>
            <w:tcW w:w="14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6/30/2112</w:t>
            </w:r>
          </w:p>
        </w:tc>
        <w:tc>
          <w:tcPr>
            <w:tcW w:w="2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6/30/2112</w:t>
            </w:r>
          </w:p>
        </w:tc>
        <w:tc>
          <w:tcPr>
            <w:tcW w:w="0" w:type="dxa"/>
            <w:vAlign w:val="bottom"/>
          </w:tcPr>
          <w:p>
            <w:pPr>
              <w:spacing w:after="0"/>
              <w:rPr>
                <w:sz w:val="1"/>
                <w:szCs w:val="1"/>
                <w:color w:val="auto"/>
              </w:rPr>
            </w:pPr>
          </w:p>
        </w:tc>
      </w:tr>
      <w:tr>
        <w:trPr>
          <w:trHeight w:val="223"/>
        </w:trPr>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18 The Westin South Coast Plaza, Costa Mesa</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80" w:type="dxa"/>
            <w:vAlign w:val="bottom"/>
          </w:tcPr>
          <w:p>
            <w:pPr>
              <w:spacing w:after="0"/>
              <w:rPr>
                <w:sz w:val="19"/>
                <w:szCs w:val="19"/>
                <w:color w:val="auto"/>
              </w:rPr>
            </w:pP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625,000</w:t>
            </w: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9/30/2059</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9/30/2059</w:t>
            </w:r>
          </w:p>
        </w:tc>
        <w:tc>
          <w:tcPr>
            <w:tcW w:w="0" w:type="dxa"/>
            <w:vAlign w:val="bottom"/>
          </w:tcPr>
          <w:p>
            <w:pPr>
              <w:spacing w:after="0"/>
              <w:rPr>
                <w:sz w:val="1"/>
                <w:szCs w:val="1"/>
                <w:color w:val="auto"/>
              </w:rPr>
            </w:pPr>
          </w:p>
        </w:tc>
      </w:tr>
    </w:tbl>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__________</w:t>
      </w:r>
    </w:p>
    <w:p>
      <w:pPr>
        <w:ind w:left="320" w:hanging="312"/>
        <w:spacing w:after="0" w:line="230" w:lineRule="auto"/>
        <w:tabs>
          <w:tab w:leader="none" w:pos="3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of Host’s option to extend is subject to certain conditions, including the existence of no defaults and subject to any applicable rent escalation or rent re-negotiation provisions.</w:t>
      </w:r>
    </w:p>
    <w:p>
      <w:pPr>
        <w:ind w:left="320" w:hanging="312"/>
        <w:spacing w:after="0"/>
        <w:tabs>
          <w:tab w:leader="none" w:pos="3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lease was amended in 2024 resulting in extension of the term and an upfront payment for the extension. No further rental payments are required for the remainder of the lease term.</w:t>
      </w:r>
    </w:p>
    <w:sectPr>
      <w:pgSz w:w="11900" w:h="16838" w:orient="portrait"/>
      <w:cols w:equalWidth="0" w:num="1">
        <w:col w:w="11240"/>
      </w:cols>
      <w:pgMar w:left="320" w:top="9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1226BB"/>
    <w:multiLevelType w:val="hybridMultilevel"/>
    <w:lvl w:ilvl="0">
      <w:lvlJc w:val="left"/>
      <w:lvlText w:val="x"/>
      <w:numFmt w:val="bullet"/>
      <w:start w:val="1"/>
    </w:lvl>
  </w:abstractNum>
  <w:abstractNum w:abstractNumId="1">
    <w:nsid w:val="D34B6A8"/>
    <w:multiLevelType w:val="hybridMultilevel"/>
    <w:lvl w:ilvl="0">
      <w:lvlJc w:val="left"/>
      <w:lvlText w:val="o"/>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1)"/>
      <w:numFmt w:val="decimal"/>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lvl w:ilvl="1">
      <w:lvlJc w:val="left"/>
      <w:lvlText w:val="◦"/>
      <w:numFmt w:val="bullet"/>
      <w:start w:val="1"/>
    </w:lvl>
  </w:abstractNum>
  <w:abstractNum w:abstractNumId="15">
    <w:nsid w:val="1381823A"/>
    <w:multiLevelType w:val="hybridMultilevel"/>
    <w:lvl w:ilvl="0">
      <w:lvlJc w:val="left"/>
      <w:lvlText w:val="•"/>
      <w:numFmt w:val="bullet"/>
      <w:start w:val="1"/>
    </w:lvl>
    <w:lvl w:ilvl="1">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1)"/>
      <w:numFmt w:val="decimal"/>
      <w:start w:val="1"/>
    </w:lvl>
  </w:abstractNum>
  <w:abstractNum w:abstractNumId="18">
    <w:nsid w:val="6590700B"/>
    <w:multiLevelType w:val="hybridMultilevel"/>
    <w:lvl w:ilvl="0">
      <w:lvlJc w:val="left"/>
      <w:lvlText w:val="(%1)"/>
      <w:numFmt w:val="decimal"/>
      <w:start w:val="1"/>
    </w:lvl>
  </w:abstractNum>
  <w:abstractNum w:abstractNumId="19">
    <w:nsid w:val="15014ACB"/>
    <w:multiLevelType w:val="hybridMultilevel"/>
    <w:lvl w:ilvl="0">
      <w:lvlJc w:val="left"/>
      <w:lvlText w:val="(%1)"/>
      <w:numFmt w:val="decimal"/>
      <w:start w:val="1"/>
    </w:lvl>
  </w:abstractNum>
  <w:abstractNum w:abstractNumId="20">
    <w:nsid w:val="5F5E7FD0"/>
    <w:multiLevelType w:val="hybridMultilevel"/>
    <w:lvl w:ilvl="0">
      <w:lvlJc w:val="left"/>
      <w:lvlText w:val="1"/>
      <w:numFmt w:val="bullet"/>
      <w:start w:val="1"/>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
      <w:numFmt w:val="bullet"/>
      <w:start w:val="1"/>
    </w:lvl>
    <w:lvl w:ilvl="1">
      <w:lvlJc w:val="left"/>
      <w:lvlText w:val="◦"/>
      <w:numFmt w:val="bullet"/>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
      <w:numFmt w:val="bullet"/>
      <w:start w:val="1"/>
    </w:lvl>
  </w:abstractNum>
  <w:abstractNum w:abstractNumId="32">
    <w:nsid w:val="613EFDC5"/>
    <w:multiLevelType w:val="hybridMultilevel"/>
    <w:lvl w:ilvl="0">
      <w:lvlJc w:val="left"/>
      <w:lvlText w:val="•"/>
      <w:numFmt w:val="bullet"/>
      <w:start w:val="1"/>
    </w:lvl>
  </w:abstractNum>
  <w:abstractNum w:abstractNumId="33">
    <w:nsid w:val="BF72B14"/>
    <w:multiLevelType w:val="hybridMultilevel"/>
    <w:lvl w:ilvl="0">
      <w:lvlJc w:val="left"/>
      <w:lvlText w:val="%"/>
      <w:numFmt w:val="bullet"/>
      <w:start w:val="1"/>
    </w:lvl>
  </w:abstractNum>
  <w:abstractNum w:abstractNumId="34">
    <w:nsid w:val="11447B73"/>
    <w:multiLevelType w:val="hybridMultilevel"/>
    <w:lvl w:ilvl="0">
      <w:lvlJc w:val="left"/>
      <w:lvlText w:val="•"/>
      <w:numFmt w:val="bullet"/>
      <w:start w:val="1"/>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
      <w:numFmt w:val="bullet"/>
      <w:start w:val="1"/>
    </w:lvl>
  </w:abstractNum>
  <w:abstractNum w:abstractNumId="37">
    <w:nsid w:val="8F2B15E"/>
    <w:multiLevelType w:val="hybridMultilevel"/>
    <w:lvl w:ilvl="0">
      <w:lvlJc w:val="left"/>
      <w:lvlText w:val="•"/>
      <w:numFmt w:val="bullet"/>
      <w:start w:val="1"/>
    </w:lvl>
  </w:abstractNum>
  <w:abstractNum w:abstractNumId="38">
    <w:nsid w:val="1A32234B"/>
    <w:multiLevelType w:val="hybridMultilevel"/>
    <w:lvl w:ilvl="0">
      <w:lvlJc w:val="left"/>
      <w:lvlText w:val="(%1)"/>
      <w:numFmt w:val="decimal"/>
      <w:start w:val="1"/>
    </w:lvl>
  </w:abstractNum>
  <w:abstractNum w:abstractNumId="39">
    <w:nsid w:val="3B0FD379"/>
    <w:multiLevelType w:val="hybridMultilevel"/>
    <w:lvl w:ilvl="0">
      <w:lvlJc w:val="left"/>
      <w:lvlText w:val="(%1)"/>
      <w:numFmt w:val="decimal"/>
      <w:start w:val="1"/>
    </w:lvl>
  </w:abstractNum>
  <w:abstractNum w:abstractNumId="40">
    <w:nsid w:val="68EB2F63"/>
    <w:multiLevelType w:val="hybridMultilevel"/>
    <w:lvl w:ilvl="0">
      <w:lvlJc w:val="left"/>
      <w:lvlText w:val="(%1)"/>
      <w:numFmt w:val="decimal"/>
      <w:start w:val="1"/>
    </w:lvl>
  </w:abstractNum>
  <w:abstractNum w:abstractNumId="41">
    <w:nsid w:val="4962813B"/>
    <w:multiLevelType w:val="hybridMultilevel"/>
    <w:lvl w:ilvl="0">
      <w:lvlJc w:val="left"/>
      <w:lvlText w:val="(%1)"/>
      <w:numFmt w:val="decimal"/>
      <w:start w:val="1"/>
    </w:lvl>
  </w:abstractNum>
  <w:abstractNum w:abstractNumId="42">
    <w:nsid w:val="60B6DF70"/>
    <w:multiLevelType w:val="hybridMultilevel"/>
    <w:lvl w:ilvl="0">
      <w:lvlJc w:val="left"/>
      <w:lvlText w:val="(%1)"/>
      <w:numFmt w:val="decimal"/>
      <w:start w:val="1"/>
    </w:lvl>
  </w:abstractNum>
  <w:abstractNum w:abstractNumId="43">
    <w:nsid w:val="6A5EE64"/>
    <w:multiLevelType w:val="hybridMultilevel"/>
    <w:lvl w:ilvl="0">
      <w:lvlJc w:val="left"/>
      <w:lvlText w:val="(%1)"/>
      <w:numFmt w:val="decimal"/>
      <w:start w:val="1"/>
    </w:lvl>
  </w:abstractNum>
  <w:abstractNum w:abstractNumId="44">
    <w:nsid w:val="14330624"/>
    <w:multiLevelType w:val="hybridMultilevel"/>
    <w:lvl w:ilvl="0">
      <w:lvlJc w:val="left"/>
      <w:lvlText w:val="(%1)"/>
      <w:numFmt w:val="decimal"/>
      <w:start w:val="1"/>
    </w:lvl>
  </w:abstractNum>
  <w:abstractNum w:abstractNumId="45">
    <w:nsid w:val="7FFFCA11"/>
    <w:multiLevelType w:val="hybridMultilevel"/>
    <w:lvl w:ilvl="0">
      <w:lvlJc w:val="left"/>
      <w:lvlText w:val="(%1)"/>
      <w:numFmt w:val="decimal"/>
      <w:start w:val="1"/>
    </w:lvl>
  </w:abstractNum>
  <w:abstractNum w:abstractNumId="46">
    <w:nsid w:val="1A27709E"/>
    <w:multiLevelType w:val="hybridMultilevel"/>
    <w:lvl w:ilvl="0">
      <w:lvlJc w:val="left"/>
      <w:lvlText w:val="(%1)"/>
      <w:numFmt w:val="decimal"/>
      <w:start w:val="1"/>
    </w:lvl>
  </w:abstractNum>
  <w:abstractNum w:abstractNumId="47">
    <w:nsid w:val="71EA1109"/>
    <w:multiLevelType w:val="hybridMultilevel"/>
    <w:lvl w:ilvl="0">
      <w:lvlJc w:val="left"/>
      <w:lvlText w:val="(%1)"/>
      <w:numFmt w:val="decimal"/>
      <w:start w:val="1"/>
    </w:lvl>
  </w:abstractNum>
  <w:abstractNum w:abstractNumId="48">
    <w:nsid w:val="100F59DC"/>
    <w:multiLevelType w:val="hybridMultilevel"/>
    <w:lvl w:ilvl="0">
      <w:lvlJc w:val="left"/>
      <w:lvlText w:val="(%1)"/>
      <w:numFmt w:val="decimal"/>
      <w:start w:val="1"/>
    </w:lvl>
  </w:abstractNum>
  <w:abstractNum w:abstractNumId="49">
    <w:nsid w:val="7FB7E0AA"/>
    <w:multiLevelType w:val="hybridMultilevel"/>
    <w:lvl w:ilvl="0">
      <w:lvlJc w:val="left"/>
      <w:lvlText w:val="•"/>
      <w:numFmt w:val="bullet"/>
      <w:start w:val="1"/>
    </w:lvl>
  </w:abstractNum>
  <w:abstractNum w:abstractNumId="50">
    <w:nsid w:val="6EB5BD4"/>
    <w:multiLevelType w:val="hybridMultilevel"/>
    <w:lvl w:ilvl="0">
      <w:lvlJc w:val="left"/>
      <w:lvlText w:val="•"/>
      <w:numFmt w:val="bullet"/>
      <w:start w:val="1"/>
    </w:lvl>
  </w:abstractNum>
  <w:abstractNum w:abstractNumId="51">
    <w:nsid w:val="6F6DD9AC"/>
    <w:multiLevelType w:val="hybridMultilevel"/>
    <w:lvl w:ilvl="0">
      <w:lvlJc w:val="left"/>
      <w:lvlText w:val="(%1)"/>
      <w:numFmt w:val="decimal"/>
      <w:start w:val="1"/>
    </w:lvl>
  </w:abstractNum>
  <w:abstractNum w:abstractNumId="52">
    <w:nsid w:val="94211F2"/>
    <w:multiLevelType w:val="hybridMultilevel"/>
    <w:lvl w:ilvl="0">
      <w:lvlJc w:val="left"/>
      <w:lvlText w:val="•"/>
      <w:numFmt w:val="bullet"/>
      <w:start w:val="1"/>
    </w:lvl>
  </w:abstractNum>
  <w:abstractNum w:abstractNumId="53">
    <w:nsid w:val="885E1B"/>
    <w:multiLevelType w:val="hybridMultilevel"/>
    <w:lvl w:ilvl="0">
      <w:lvlJc w:val="left"/>
      <w:lvlText w:val="(%1)"/>
      <w:numFmt w:val="decimal"/>
      <w:start w:val="5"/>
    </w:lvl>
  </w:abstractNum>
  <w:abstractNum w:abstractNumId="54">
    <w:nsid w:val="76272110"/>
    <w:multiLevelType w:val="hybridMultilevel"/>
    <w:lvl w:ilvl="0">
      <w:lvlJc w:val="left"/>
      <w:lvlText w:val="(%1)"/>
      <w:numFmt w:val="decimal"/>
      <w:start w:val="1"/>
    </w:lvl>
  </w:abstractNum>
  <w:abstractNum w:abstractNumId="55">
    <w:nsid w:val="4C04A8AF"/>
    <w:multiLevelType w:val="hybridMultilevel"/>
    <w:lvl w:ilvl="0">
      <w:lvlJc w:val="left"/>
      <w:lvlText w:val="(%1)"/>
      <w:numFmt w:val="decimal"/>
      <w:start w:val="2"/>
    </w:lvl>
  </w:abstractNum>
  <w:abstractNum w:abstractNumId="56">
    <w:nsid w:val="1716703B"/>
    <w:multiLevelType w:val="hybridMultilevel"/>
    <w:lvl w:ilvl="0">
      <w:lvlJc w:val="left"/>
      <w:lvlText w:val="(%1)"/>
      <w:numFmt w:val="decimal"/>
      <w:start w:val="1"/>
    </w:lvl>
  </w:abstractNum>
  <w:abstractNum w:abstractNumId="57">
    <w:nsid w:val="14E17E33"/>
    <w:multiLevelType w:val="hybridMultilevel"/>
    <w:lvl w:ilvl="0">
      <w:lvlJc w:val="left"/>
      <w:lvlText w:val="(%1)"/>
      <w:numFmt w:val="lowerRoman"/>
      <w:start w:val="2"/>
    </w:lvl>
  </w:abstractNum>
  <w:abstractNum w:abstractNumId="58">
    <w:nsid w:val="3222E7CD"/>
    <w:multiLevelType w:val="hybridMultilevel"/>
    <w:lvl w:ilvl="0">
      <w:lvlJc w:val="left"/>
      <w:lvlText w:val="●"/>
      <w:numFmt w:val="bullet"/>
      <w:start w:val="1"/>
    </w:lvl>
  </w:abstractNum>
  <w:abstractNum w:abstractNumId="59">
    <w:nsid w:val="74DE0EE3"/>
    <w:multiLevelType w:val="hybridMultilevel"/>
    <w:lvl w:ilvl="0">
      <w:lvlJc w:val="left"/>
      <w:lvlText w:val="●"/>
      <w:numFmt w:val="bullet"/>
      <w:start w:val="1"/>
    </w:lvl>
  </w:abstractNum>
  <w:abstractNum w:abstractNumId="60">
    <w:nsid w:val="68EBC550"/>
    <w:multiLevelType w:val="hybridMultilevel"/>
    <w:lvl w:ilvl="0">
      <w:lvlJc w:val="left"/>
      <w:lvlText w:val="\emdash "/>
      <w:numFmt w:val="bullet"/>
      <w:start w:val="1"/>
    </w:lvl>
  </w:abstractNum>
  <w:abstractNum w:abstractNumId="61">
    <w:nsid w:val="2DF6D648"/>
    <w:multiLevelType w:val="hybridMultilevel"/>
    <w:lvl w:ilvl="0">
      <w:lvlJc w:val="left"/>
      <w:lvlText w:val="\emdash "/>
      <w:numFmt w:val="bullet"/>
      <w:start w:val="1"/>
    </w:lvl>
  </w:abstractNum>
  <w:abstractNum w:abstractNumId="62">
    <w:nsid w:val="46B7D447"/>
    <w:multiLevelType w:val="hybridMultilevel"/>
    <w:lvl w:ilvl="0">
      <w:lvlJc w:val="left"/>
      <w:lvlText w:val="\emdash "/>
      <w:numFmt w:val="bullet"/>
      <w:start w:val="1"/>
    </w:lvl>
  </w:abstractNum>
  <w:abstractNum w:abstractNumId="63">
    <w:nsid w:val="4A2AC315"/>
    <w:multiLevelType w:val="hybridMultilevel"/>
    <w:lvl w:ilvl="0">
      <w:lvlJc w:val="left"/>
      <w:lvlText w:val="\emdash "/>
      <w:numFmt w:val="bullet"/>
      <w:start w:val="1"/>
    </w:lvl>
  </w:abstractNum>
  <w:abstractNum w:abstractNumId="64">
    <w:nsid w:val="39EE015C"/>
    <w:multiLevelType w:val="hybridMultilevel"/>
    <w:lvl w:ilvl="0">
      <w:lvlJc w:val="left"/>
      <w:lvlText w:val="\emdash "/>
      <w:numFmt w:val="bullet"/>
      <w:start w:val="1"/>
    </w:lvl>
  </w:abstractNum>
  <w:abstractNum w:abstractNumId="65">
    <w:nsid w:val="57FC4FBB"/>
    <w:multiLevelType w:val="hybridMultilevel"/>
    <w:lvl w:ilvl="0">
      <w:lvlJc w:val="left"/>
      <w:lvlText w:val="\emdash "/>
      <w:numFmt w:val="bullet"/>
      <w:start w:val="1"/>
    </w:lvl>
  </w:abstractNum>
  <w:abstractNum w:abstractNumId="66">
    <w:nsid w:val="CC1016F"/>
    <w:multiLevelType w:val="hybridMultilevel"/>
    <w:lvl w:ilvl="0">
      <w:lvlJc w:val="left"/>
      <w:lvlText w:val="%1."/>
      <w:numFmt w:val="decimal"/>
      <w:start w:val="1"/>
    </w:lvl>
  </w:abstractNum>
  <w:abstractNum w:abstractNumId="67">
    <w:nsid w:val="43F18422"/>
    <w:multiLevelType w:val="hybridMultilevel"/>
    <w:lvl w:ilvl="0">
      <w:lvlJc w:val="left"/>
      <w:lvlText w:val="•"/>
      <w:numFmt w:val="bullet"/>
      <w:start w:val="1"/>
    </w:lvl>
  </w:abstractNum>
  <w:abstractNum w:abstractNumId="68">
    <w:nsid w:val="60EF0119"/>
    <w:multiLevelType w:val="hybridMultilevel"/>
    <w:lvl w:ilvl="0">
      <w:lvlJc w:val="left"/>
      <w:lvlText w:val="•"/>
      <w:numFmt w:val="bullet"/>
      <w:start w:val="1"/>
    </w:lvl>
  </w:abstractNum>
  <w:abstractNum w:abstractNumId="69">
    <w:nsid w:val="26F324BA"/>
    <w:multiLevelType w:val="hybridMultilevel"/>
    <w:lvl w:ilvl="0">
      <w:lvlJc w:val="left"/>
      <w:lvlText w:val="(%1)"/>
      <w:numFmt w:val="decimal"/>
      <w:start w:val="1"/>
    </w:lvl>
  </w:abstractNum>
  <w:abstractNum w:abstractNumId="70">
    <w:nsid w:val="7F01579B"/>
    <w:multiLevelType w:val="hybridMultilevel"/>
    <w:lvl w:ilvl="0">
      <w:lvlJc w:val="left"/>
      <w:lvlText w:val="(%1)"/>
      <w:numFmt w:val="decimal"/>
      <w:start w:val="1"/>
    </w:lvl>
  </w:abstractNum>
  <w:abstractNum w:abstractNumId="71">
    <w:nsid w:val="49DA307D"/>
    <w:multiLevelType w:val="hybridMultilevel"/>
    <w:lvl w:ilvl="0">
      <w:lvlJc w:val="left"/>
      <w:lvlText w:val="(%1)"/>
      <w:numFmt w:val="decimal"/>
      <w:start w:val="1"/>
    </w:lvl>
  </w:abstractNum>
  <w:abstractNum w:abstractNumId="72">
    <w:nsid w:val="7055A5F5"/>
    <w:multiLevelType w:val="hybridMultilevel"/>
    <w:lvl w:ilvl="0">
      <w:lvlJc w:val="left"/>
      <w:lvlText w:val="(%1)"/>
      <w:numFmt w:val="decimal"/>
      <w:start w:val="1"/>
    </w:lvl>
  </w:abstractNum>
  <w:abstractNum w:abstractNumId="73">
    <w:nsid w:val="5FB8370B"/>
    <w:multiLevelType w:val="hybridMultilevel"/>
    <w:lvl w:ilvl="0">
      <w:lvlJc w:val="left"/>
      <w:lvlText w:val="%1."/>
      <w:numFmt w:val="decimal"/>
      <w:start w:val="6"/>
    </w:lvl>
  </w:abstractNum>
  <w:abstractNum w:abstractNumId="74">
    <w:nsid w:val="50801EE1"/>
    <w:multiLevelType w:val="hybridMultilevel"/>
    <w:lvl w:ilvl="0">
      <w:lvlJc w:val="left"/>
      <w:lvlText w:val="(%1)"/>
      <w:numFmt w:val="decimal"/>
      <w:start w:val="1"/>
    </w:lvl>
  </w:abstractNum>
  <w:abstractNum w:abstractNumId="75">
    <w:nsid w:val="488AC1A"/>
    <w:multiLevelType w:val="hybridMultilevel"/>
    <w:lvl w:ilvl="0">
      <w:lvlJc w:val="left"/>
      <w:lvlText w:val="%1."/>
      <w:numFmt w:val="decimal"/>
      <w:start w:val="11"/>
    </w:lvl>
  </w:abstractNum>
  <w:abstractNum w:abstractNumId="76">
    <w:nsid w:val="5FB8011C"/>
    <w:multiLevelType w:val="hybridMultilevel"/>
    <w:lvl w:ilvl="0">
      <w:lvlJc w:val="left"/>
      <w:lvlText w:val="%1."/>
      <w:numFmt w:val="decimal"/>
      <w:start w:val="12"/>
    </w:lvl>
    <w:lvl w:ilvl="1">
      <w:lvlJc w:val="left"/>
      <w:lvlText w:val="•"/>
      <w:numFmt w:val="bullet"/>
      <w:start w:val="1"/>
    </w:lvl>
  </w:abstractNum>
  <w:abstractNum w:abstractNumId="77">
    <w:nsid w:val="6AA78F7F"/>
    <w:multiLevelType w:val="hybridMultilevel"/>
    <w:lvl w:ilvl="0">
      <w:lvlJc w:val="left"/>
      <w:lvlText w:val="(%1)"/>
      <w:numFmt w:val="decimal"/>
      <w:start w:val="1"/>
    </w:lvl>
  </w:abstractNum>
  <w:abstractNum w:abstractNumId="78">
    <w:nsid w:val="7672BD23"/>
    <w:multiLevelType w:val="hybridMultilevel"/>
    <w:lvl w:ilvl="0">
      <w:lvlJc w:val="left"/>
      <w:lvlText w:val="(%1)"/>
      <w:numFmt w:val="lowerLetter"/>
      <w:start w:val="1"/>
    </w:lvl>
    <w:lvl w:ilvl="1">
      <w:lvlJc w:val="left"/>
      <w:lvlText w:val="(%2)"/>
      <w:numFmt w:val="lowerLetter"/>
      <w:start w:val="9"/>
    </w:lvl>
  </w:abstractNum>
  <w:abstractNum w:abstractNumId="79">
    <w:nsid w:val="6FC75AF8"/>
    <w:multiLevelType w:val="hybridMultilevel"/>
    <w:lvl w:ilvl="0">
      <w:lvlJc w:val="left"/>
      <w:lvlText w:val="(%1)"/>
      <w:numFmt w:val="lowerRoman"/>
      <w:start w:val="2"/>
    </w:lvl>
  </w:abstractNum>
  <w:abstractNum w:abstractNumId="80">
    <w:nsid w:val="6A5F7029"/>
    <w:multiLevelType w:val="hybridMultilevel"/>
    <w:lvl w:ilvl="0">
      <w:lvlJc w:val="left"/>
      <w:lvlText w:val="(%1)"/>
      <w:numFmt w:val="lowerLetter"/>
      <w:start w:val="2"/>
    </w:lvl>
  </w:abstractNum>
  <w:abstractNum w:abstractNumId="81">
    <w:nsid w:val="7D5E18F8"/>
    <w:multiLevelType w:val="hybridMultilevel"/>
    <w:lvl w:ilvl="0">
      <w:lvlJc w:val="left"/>
      <w:lvlText w:val="•"/>
      <w:numFmt w:val="bullet"/>
      <w:start w:val="1"/>
    </w:lvl>
  </w:abstractNum>
  <w:abstractNum w:abstractNumId="82">
    <w:nsid w:val="5F3534A4"/>
    <w:multiLevelType w:val="hybridMultilevel"/>
    <w:lvl w:ilvl="0">
      <w:lvlJc w:val="left"/>
      <w:lvlText w:val="%1."/>
      <w:numFmt w:val="decimal"/>
      <w:start w:val="4"/>
    </w:lvl>
  </w:abstractNum>
  <w:abstractNum w:abstractNumId="83">
    <w:nsid w:val="73A1821B"/>
    <w:multiLevelType w:val="hybridMultilevel"/>
    <w:lvl w:ilvl="0">
      <w:lvlJc w:val="left"/>
      <w:lvlText w:val="%1."/>
      <w:numFmt w:val="decimal"/>
      <w:start w:val="10"/>
    </w:lvl>
  </w:abstractNum>
  <w:abstractNum w:abstractNumId="84">
    <w:nsid w:val="7DE67713"/>
    <w:multiLevelType w:val="hybridMultilevel"/>
    <w:lvl w:ilvl="0">
      <w:lvlJc w:val="left"/>
      <w:lvlText w:val="%1."/>
      <w:numFmt w:val="decimal"/>
      <w:start w:val="21"/>
    </w:lvl>
  </w:abstractNum>
  <w:abstractNum w:abstractNumId="85">
    <w:nsid w:val="555C55B5"/>
    <w:multiLevelType w:val="hybridMultilevel"/>
    <w:lvl w:ilvl="0">
      <w:lvlJc w:val="left"/>
      <w:lvlText w:val="%1."/>
      <w:numFmt w:val="decimal"/>
      <w:start w:val="23"/>
    </w:lvl>
  </w:abstractNum>
  <w:abstractNum w:abstractNumId="86">
    <w:nsid w:val="3FA62ACA"/>
    <w:multiLevelType w:val="hybridMultilevel"/>
    <w:lvl w:ilvl="0">
      <w:lvlJc w:val="left"/>
      <w:lvlText w:val="†"/>
      <w:numFmt w:val="bullet"/>
      <w:start w:val="1"/>
    </w:lvl>
  </w:abstractNum>
  <w:abstractNum w:abstractNumId="87">
    <w:nsid w:val="14FCE74E"/>
    <w:multiLevelType w:val="hybridMultilevel"/>
    <w:lvl w:ilvl="0">
      <w:lvlJc w:val="left"/>
      <w:lvlText w:val="(%1)"/>
      <w:numFmt w:val="decimal"/>
      <w:start w:val="1"/>
    </w:lvl>
  </w:abstractNum>
  <w:abstractNum w:abstractNumId="88">
    <w:nsid w:val="6A3DD3E8"/>
    <w:multiLevelType w:val="hybridMultilevel"/>
    <w:lvl w:ilvl="0">
      <w:lvlJc w:val="left"/>
      <w:lvlText w:val="(%1)"/>
      <w:numFmt w:val="upperLetter"/>
      <w:start w:val="2"/>
    </w:lvl>
  </w:abstractNum>
  <w:abstractNum w:abstractNumId="89">
    <w:nsid w:val="71C91298"/>
    <w:multiLevelType w:val="hybridMultilevel"/>
    <w:lvl w:ilvl="0">
      <w:lvlJc w:val="left"/>
      <w:lvlText w:val="$"/>
      <w:numFmt w:val="bullet"/>
      <w:start w:val="1"/>
    </w:lvl>
  </w:abstractNum>
  <w:abstractNum w:abstractNumId="90">
    <w:nsid w:val="9DAF632"/>
    <w:multiLevelType w:val="hybridMultilevel"/>
    <w:lvl w:ilvl="0">
      <w:lvlJc w:val="left"/>
      <w:lvlText w:val="$"/>
      <w:numFmt w:val="bullet"/>
      <w:start w:val="1"/>
    </w:lvl>
  </w:abstractNum>
  <w:abstractNum w:abstractNumId="91">
    <w:nsid w:val="53299938"/>
    <w:multiLevelType w:val="hybridMultilevel"/>
    <w:lvl w:ilvl="0">
      <w:lvlJc w:val="left"/>
      <w:lvlText w:val="(%1)"/>
      <w:numFmt w:val="upperLetter"/>
      <w:start w:val="3"/>
    </w:lvl>
  </w:abstractNum>
  <w:abstractNum w:abstractNumId="92">
    <w:nsid w:val="1FBFE8E0"/>
    <w:multiLevelType w:val="hybridMultilevel"/>
    <w:lvl w:ilvl="0">
      <w:lvlJc w:val="left"/>
      <w:lvlText w:val="(%1)"/>
      <w:numFmt w:val="lowerLetter"/>
      <w:start w:val="1"/>
    </w:lvl>
  </w:abstractNum>
  <w:abstractNum w:abstractNumId="93">
    <w:nsid w:val="5092CA79"/>
    <w:multiLevelType w:val="hybridMultilevel"/>
    <w:lvl w:ilvl="0">
      <w:lvlJc w:val="left"/>
      <w:lvlText w:val="(%1)"/>
      <w:numFmt w:val="lowerLetter"/>
      <w:start w:val="3"/>
    </w:lvl>
  </w:abstractNum>
  <w:abstractNum w:abstractNumId="94">
    <w:nsid w:val="1D545C4D"/>
    <w:multiLevelType w:val="hybridMultilevel"/>
    <w:lvl w:ilvl="0">
      <w:lvlJc w:val="left"/>
      <w:lvlText w:val="(%1)"/>
      <w:numFmt w:val="lowerLetter"/>
      <w:start w:val="1"/>
    </w:lvl>
  </w:abstractNum>
  <w:abstractNum w:abstractNumId="95">
    <w:nsid w:val="59ADEA3D"/>
    <w:multiLevelType w:val="hybridMultilevel"/>
    <w:lvl w:ilvl="0">
      <w:lvlJc w:val="left"/>
      <w:lvlText w:val="(%1)"/>
      <w:numFmt w:val="lowerLetter"/>
      <w:start w:val="2"/>
    </w:lvl>
  </w:abstractNum>
  <w:abstractNum w:abstractNumId="96">
    <w:nsid w:val="288F1A34"/>
    <w:multiLevelType w:val="hybridMultilevel"/>
    <w:lvl w:ilvl="0">
      <w:lvlJc w:val="left"/>
      <w:lvlText w:val="(%1)"/>
      <w:numFmt w:val="lowerLetter"/>
      <w:start w:val="2"/>
    </w:lvl>
  </w:abstractNum>
  <w:abstractNum w:abstractNumId="97">
    <w:nsid w:val="2A155DBC"/>
    <w:multiLevelType w:val="hybridMultilevel"/>
    <w:lvl w:ilvl="0">
      <w:lvlJc w:val="left"/>
      <w:lvlText w:val="(%1)"/>
      <w:numFmt w:val="lowerLetter"/>
      <w:start w:val="1"/>
    </w:lvl>
  </w:abstractNum>
  <w:abstractNum w:abstractNumId="98">
    <w:nsid w:val="1D9F6E5F"/>
    <w:multiLevelType w:val="hybridMultilevel"/>
    <w:lvl w:ilvl="0">
      <w:lvlJc w:val="left"/>
      <w:lvlText w:val="(%1)"/>
      <w:numFmt w:val="lowerLetter"/>
      <w:start w:val="10"/>
    </w:lvl>
  </w:abstractNum>
  <w:abstractNum w:abstractNumId="99">
    <w:nsid w:val="97E1B4E"/>
    <w:multiLevelType w:val="hybridMultilevel"/>
    <w:lvl w:ilvl="0">
      <w:lvlJc w:val="left"/>
      <w:lvlText w:val="(%1)"/>
      <w:numFmt w:val="lowerLetter"/>
      <w:start w:val="1"/>
    </w:lvl>
  </w:abstractNum>
  <w:abstractNum w:abstractNumId="100">
    <w:nsid w:val="51088277"/>
    <w:multiLevelType w:val="hybridMultilevel"/>
    <w:lvl w:ilvl="0">
      <w:lvlJc w:val="left"/>
      <w:lvlText w:val="(%1)"/>
      <w:numFmt w:val="lowerLetter"/>
      <w:start w:val="5"/>
    </w:lvl>
  </w:abstractNum>
  <w:abstractNum w:abstractNumId="101">
    <w:nsid w:val="1CA0C5FA"/>
    <w:multiLevelType w:val="hybridMultilevel"/>
    <w:lvl w:ilvl="0">
      <w:lvlJc w:val="left"/>
      <w:lvlText w:val="(%1)"/>
      <w:numFmt w:val="lowerLetter"/>
      <w:start w:val="1"/>
    </w:lvl>
  </w:abstractNum>
  <w:abstractNum w:abstractNumId="102">
    <w:nsid w:val="53584BCB"/>
    <w:multiLevelType w:val="hybridMultilevel"/>
    <w:lvl w:ilvl="0">
      <w:lvlJc w:val="left"/>
      <w:lvlText w:val="(%1)"/>
      <w:numFmt w:val="lowerLetter"/>
      <w:start w:val="2"/>
    </w:lvl>
  </w:abstractNum>
  <w:abstractNum w:abstractNumId="103">
    <w:nsid w:val="415E286C"/>
    <w:multiLevelType w:val="hybridMultilevel"/>
    <w:lvl w:ilvl="0">
      <w:lvlJc w:val="left"/>
      <w:lvlText w:val="(%1)"/>
      <w:numFmt w:val="lowerLetter"/>
      <w:start w:val="1"/>
    </w:lvl>
  </w:abstractNum>
  <w:abstractNum w:abstractNumId="104">
    <w:nsid w:val="7C58FD05"/>
    <w:multiLevelType w:val="hybridMultilevel"/>
    <w:lvl w:ilvl="0">
      <w:lvlJc w:val="left"/>
      <w:lvlText w:val="(%1)"/>
      <w:numFmt w:val="lowerLetter"/>
      <w:start w:val="3"/>
    </w:lvl>
  </w:abstractNum>
  <w:abstractNum w:abstractNumId="105">
    <w:nsid w:val="23D86AAC"/>
    <w:multiLevelType w:val="hybridMultilevel"/>
    <w:lvl w:ilvl="0">
      <w:lvlJc w:val="left"/>
      <w:lvlText w:val="(%1)"/>
      <w:numFmt w:val="lowerLetter"/>
      <w:start w:val="1"/>
    </w:lvl>
  </w:abstractNum>
  <w:abstractNum w:abstractNumId="106">
    <w:nsid w:val="45E6D486"/>
    <w:multiLevelType w:val="hybridMultilevel"/>
    <w:lvl w:ilvl="0">
      <w:lvlJc w:val="left"/>
      <w:lvlText w:val="(%1)"/>
      <w:numFmt w:val="lowerLetter"/>
      <w:start w:val="3"/>
    </w:lvl>
  </w:abstractNum>
  <w:abstractNum w:abstractNumId="107">
    <w:nsid w:val="5C10FE21"/>
    <w:multiLevelType w:val="hybridMultilevel"/>
    <w:lvl w:ilvl="0">
      <w:lvlJc w:val="left"/>
      <w:lvlText w:val="o"/>
      <w:numFmt w:val="bullet"/>
      <w:start w:val="1"/>
    </w:lvl>
  </w:abstractNum>
  <w:abstractNum w:abstractNumId="108">
    <w:nsid w:val="E7FFA2B"/>
    <w:multiLevelType w:val="hybridMultilevel"/>
    <w:lvl w:ilvl="0">
      <w:lvlJc w:val="left"/>
      <w:lvlText w:val="o"/>
      <w:numFmt w:val="bullet"/>
      <w:start w:val="1"/>
    </w:lvl>
  </w:abstractNum>
  <w:abstractNum w:abstractNumId="109">
    <w:nsid w:val="3C5991AA"/>
    <w:multiLevelType w:val="hybridMultilevel"/>
    <w:lvl w:ilvl="0">
      <w:lvlJc w:val="left"/>
      <w:lvlText w:val="o"/>
      <w:numFmt w:val="bullet"/>
      <w:start w:val="1"/>
    </w:lvl>
  </w:abstractNum>
  <w:abstractNum w:abstractNumId="110">
    <w:nsid w:val="4BD8591A"/>
    <w:multiLevelType w:val="hybridMultilevel"/>
    <w:lvl w:ilvl="0">
      <w:lvlJc w:val="left"/>
      <w:lvlText w:val="o"/>
      <w:numFmt w:val="bullet"/>
      <w:start w:val="1"/>
    </w:lvl>
  </w:abstractNum>
  <w:abstractNum w:abstractNumId="111">
    <w:nsid w:val="78DF6A55"/>
    <w:multiLevelType w:val="hybridMultilevel"/>
    <w:lvl w:ilvl="0">
      <w:lvlJc w:val="left"/>
      <w:lvlText w:val="•"/>
      <w:numFmt w:val="bullet"/>
      <w:start w:val="1"/>
    </w:lvl>
  </w:abstractNum>
  <w:abstractNum w:abstractNumId="112">
    <w:nsid w:val="39B7AAA2"/>
    <w:multiLevelType w:val="hybridMultilevel"/>
    <w:lvl w:ilvl="0">
      <w:lvlJc w:val="left"/>
      <w:lvlText w:val="%1."/>
      <w:numFmt w:val="decimal"/>
      <w:start w:val="1"/>
    </w:lvl>
    <w:lvl w:ilvl="1">
      <w:lvlJc w:val="left"/>
      <w:lvlText w:val="%2."/>
      <w:numFmt w:val="lowerLetter"/>
      <w:start w:val="1"/>
    </w:lvl>
  </w:abstractNum>
  <w:abstractNum w:abstractNumId="113">
    <w:nsid w:val="2B0D8DBE"/>
    <w:multiLevelType w:val="hybridMultilevel"/>
    <w:lvl w:ilvl="0">
      <w:lvlJc w:val="left"/>
      <w:lvlText w:val="%1."/>
      <w:numFmt w:val="decimal"/>
      <w:start w:val="1"/>
    </w:lvl>
    <w:lvl w:ilvl="1">
      <w:lvlJc w:val="left"/>
      <w:lvlText w:val="%2."/>
      <w:numFmt w:val="lowerLetter"/>
      <w:start w:val="1"/>
    </w:lvl>
  </w:abstractNum>
  <w:abstractNum w:abstractNumId="114">
    <w:nsid w:val="6C80EC70"/>
    <w:multiLevelType w:val="hybridMultilevel"/>
    <w:lvl w:ilvl="0">
      <w:lvlJc w:val="left"/>
      <w:lvlText w:val="%1."/>
      <w:numFmt w:val="decimal"/>
      <w:start w:val="1"/>
    </w:lvl>
    <w:lvl w:ilvl="1">
      <w:lvlJc w:val="left"/>
      <w:lvlText w:val="%2."/>
      <w:numFmt w:val="lowerLetter"/>
      <w:start w:val="1"/>
    </w:lvl>
  </w:abstractNum>
  <w:abstractNum w:abstractNumId="115">
    <w:nsid w:val="379E21B5"/>
    <w:multiLevelType w:val="hybridMultilevel"/>
    <w:lvl w:ilvl="0">
      <w:lvlJc w:val="left"/>
      <w:lvlText w:val="%1."/>
      <w:numFmt w:val="decimal"/>
      <w:start w:val="1"/>
    </w:lvl>
    <w:lvl w:ilvl="1">
      <w:lvlJc w:val="left"/>
      <w:lvlText w:val="%2."/>
      <w:numFmt w:val="lowerLetter"/>
      <w:start w:val="1"/>
    </w:lvl>
  </w:abstractNum>
  <w:abstractNum w:abstractNumId="116">
    <w:nsid w:val="69E373"/>
    <w:multiLevelType w:val="hybridMultilevel"/>
    <w:lvl w:ilvl="0">
      <w:lvlJc w:val="left"/>
      <w:lvlText w:val="(%1)"/>
      <w:numFmt w:val="lowerRoman"/>
      <w:start w:val="1"/>
    </w:lvl>
  </w:abstractNum>
  <w:abstractNum w:abstractNumId="117">
    <w:nsid w:val="2C27173B"/>
    <w:multiLevelType w:val="hybridMultilevel"/>
    <w:lvl w:ilvl="0">
      <w:lvlJc w:val="left"/>
      <w:lvlText w:val="(%1)"/>
      <w:numFmt w:val="lowerRoman"/>
      <w:start w:val="1"/>
    </w:lvl>
  </w:abstractNum>
  <w:abstractNum w:abstractNumId="118">
    <w:nsid w:val="4C9B09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88" Type="http://schemas.openxmlformats.org/officeDocument/2006/relationships/image" Target="media/image168.png"/><Relationship Id="rId201"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175" Type="http://schemas.openxmlformats.org/officeDocument/2006/relationships/hyperlink" Target="https://www.sec.gov/Archives/edgar/data/1070750/000119312516650035/d223015dex41.htm" TargetMode="External"/><Relationship Id="rId176" Type="http://schemas.openxmlformats.org/officeDocument/2006/relationships/hyperlink" Target="https://www.sec.gov/Archives/edgar/data/1070750/000095017022022127/hst-ex3_1a.htm" TargetMode="External"/><Relationship Id="rId177" Type="http://schemas.openxmlformats.org/officeDocument/2006/relationships/hyperlink" Target="https://www.sec.gov/Archives/edgar/data/1070750/000095017023002530/hst-ex3_2.htm" TargetMode="External"/><Relationship Id="rId178" Type="http://schemas.openxmlformats.org/officeDocument/2006/relationships/hyperlink" Target="https://www.sec.gov/Archives/edgar/data/1061937/0000950109-98-004691.txt" TargetMode="External"/><Relationship Id="rId179" Type="http://schemas.openxmlformats.org/officeDocument/2006/relationships/hyperlink" Target="https://www.sec.gov/Archives/edgar/data/1061937/000119312515191992/d926622dex41.htm" TargetMode="External"/><Relationship Id="rId180" Type="http://schemas.openxmlformats.org/officeDocument/2006/relationships/hyperlink" Target="https://www.sec.gov/Archives/edgar/data/1061937/000119312519255435/d807844dex41.htm" TargetMode="External"/><Relationship Id="rId181" Type="http://schemas.openxmlformats.org/officeDocument/2006/relationships/hyperlink" Target="https://www.sec.gov/Archives/edgar/data/1061937/000119312520226970/d97805dex41.htm" TargetMode="External"/><Relationship Id="rId182" Type="http://schemas.openxmlformats.org/officeDocument/2006/relationships/hyperlink" Target="https://www.sec.gov/Archives/edgar/data/1070750/000095017021004872/hst-ex4_1.htm" TargetMode="External"/><Relationship Id="rId183" Type="http://schemas.openxmlformats.org/officeDocument/2006/relationships/hyperlink" Target="https://www.sec.gov/Archives/edgar/data/1061937/000162828024022621/exhibit41-8xk.htm" TargetMode="External"/><Relationship Id="rId184" Type="http://schemas.openxmlformats.org/officeDocument/2006/relationships/hyperlink" Target="https://www.sec.gov/Archives/edgar/data/1061937/000162828024036743/exhibit41-8xk.htm" TargetMode="External"/><Relationship Id="rId185" Type="http://schemas.openxmlformats.org/officeDocument/2006/relationships/hyperlink" Target="https://www.sec.gov/Archives/edgar/data/1070750/000162828025026857/exhibit41-8xk52025.htm" TargetMode="External"/><Relationship Id="rId186" Type="http://schemas.openxmlformats.org/officeDocument/2006/relationships/hyperlink" Target="https://www.sec.gov/Archives/edgar/data/1070750/000162828025054144/exhibit41-closing8xk.htm" TargetMode="External"/><Relationship Id="rId187" Type="http://schemas.openxmlformats.org/officeDocument/2006/relationships/hyperlink" Target="https://www.sec.gov/Archives/edgar/data/1061937/000156459020006404/hst-ex412_171.htm" TargetMode="External"/><Relationship Id="rId189" Type="http://schemas.openxmlformats.org/officeDocument/2006/relationships/hyperlink" Target="https://www.sec.gov/Archives/edgar/data/1061937/000095012314002876/hst-ex10_201312311813.htm" TargetMode="External"/><Relationship Id="rId190" Type="http://schemas.openxmlformats.org/officeDocument/2006/relationships/hyperlink" Target="https://www.sec.gov/Archives/edgar/data/1061937/000156459016012990/hst-ex104_2898.htm" TargetMode="External"/><Relationship Id="rId191" Type="http://schemas.openxmlformats.org/officeDocument/2006/relationships/hyperlink" Target="https://www.sec.gov/Archives/edgar/data/1061937/000119312517232466/d426524dex101.htm" TargetMode="External"/><Relationship Id="rId192" Type="http://schemas.openxmlformats.org/officeDocument/2006/relationships/hyperlink" Target="https://www.sec.gov/Archives/edgar/data/1061937/000156459020006404/hst-ex1010_132.htm" TargetMode="External"/><Relationship Id="rId193" Type="http://schemas.openxmlformats.org/officeDocument/2006/relationships/hyperlink" Target="https://www.sec.gov/Archives/edgar/data/1070750/000095017023000254/hst-ex10_1.htm" TargetMode="External"/><Relationship Id="rId194" Type="http://schemas.openxmlformats.org/officeDocument/2006/relationships/hyperlink" Target="https://www.sec.gov/Archives/edgar/data/1070750/000119312523157893/d495680dex11.htm" TargetMode="External"/><Relationship Id="rId195" Type="http://schemas.openxmlformats.org/officeDocument/2006/relationships/hyperlink" Target="https://www.sec.gov/ix?doc=/Archives/edgar/data/1070750/000107075024000110/hst-20240402.htm" TargetMode="External"/><Relationship Id="rId196" Type="http://schemas.openxmlformats.org/officeDocument/2006/relationships/hyperlink" Target="https://www.sec.gov/Archives/edgar/data/1061937/000107075024000167/hst-10qxexx1014.htm" TargetMode="External"/><Relationship Id="rId197" Type="http://schemas.openxmlformats.org/officeDocument/2006/relationships/hyperlink" Target="https://www.sec.gov/Archives/edgar/data/1061937/000107075024000167/hst-10qxexx1015.htm" TargetMode="External"/><Relationship Id="rId198" Type="http://schemas.openxmlformats.org/officeDocument/2006/relationships/hyperlink" Target="https://www.sec.gov/Archives/edgar/data/1061937/000107075024000167/hst-10qxexx1016.htm" TargetMode="External"/><Relationship Id="rId199" Type="http://schemas.openxmlformats.org/officeDocument/2006/relationships/hyperlink" Target="https://www.sec.gov/Archives/edgar/data/1070750/000107075025000168/hst-10qxexx1017.htm" TargetMode="External"/><Relationship Id="rId200" Type="http://schemas.openxmlformats.org/officeDocument/2006/relationships/hyperlink" Target="https://www.sec.gov/Archives/edgar/data/1061937/000107075025000071/hst-20241231xexx191.htm" TargetMode="External"/><Relationship Id="rId202" Type="http://schemas.openxmlformats.org/officeDocument/2006/relationships/hyperlink" Target="https://www.sec.gov/Archives/edgar/data/1061937/000107075024000081/hst-20231231xex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2026-02-25T14:44:00Z</dcterms:created>
  <dcterms:modified xsi:type="dcterms:W3CDTF">2026-02-25T14:44:00Z</dcterms:modified>
</cp:coreProperties>
</file>