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344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Issuer Free Writing Prospectus</w:t>
            </w:r>
          </w:p>
        </w:tc>
      </w:tr>
      <w:tr>
        <w:trPr>
          <w:trHeight w:val="229"/>
        </w:trPr>
        <w:tc>
          <w:tcPr>
            <w:tcW w:w="34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Filed Pursuant to Rule 433</w:t>
            </w:r>
          </w:p>
        </w:tc>
      </w:tr>
      <w:tr>
        <w:trPr>
          <w:trHeight w:val="243"/>
        </w:trPr>
        <w:tc>
          <w:tcPr>
            <w:tcW w:w="344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31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w w:val="99"/>
              </w:rPr>
              <w:t>Registration Statement No. 333-278572</w:t>
            </w:r>
          </w:p>
        </w:tc>
      </w:tr>
      <w:tr>
        <w:trPr>
          <w:trHeight w:val="229"/>
        </w:trPr>
        <w:tc>
          <w:tcPr>
            <w:tcW w:w="3440" w:type="dxa"/>
            <w:vAlign w:val="bottom"/>
          </w:tcPr>
          <w:p>
            <w:pPr>
              <w:spacing w:after="0"/>
              <w:rPr>
                <w:sz w:val="19"/>
                <w:szCs w:val="19"/>
                <w:color w:val="auto"/>
              </w:rPr>
            </w:pPr>
          </w:p>
        </w:tc>
        <w:tc>
          <w:tcPr>
            <w:tcW w:w="77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Relating to Preliminary Prospectus Supplement dated May 6, 2025</w:t>
            </w:r>
          </w:p>
        </w:tc>
      </w:tr>
      <w:tr>
        <w:trPr>
          <w:trHeight w:val="258"/>
        </w:trPr>
        <w:tc>
          <w:tcPr>
            <w:tcW w:w="344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31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To Prospectus dated April 17, 2024</w:t>
            </w:r>
          </w:p>
        </w:tc>
      </w:tr>
      <w:tr>
        <w:trPr>
          <w:trHeight w:val="660"/>
        </w:trPr>
        <w:tc>
          <w:tcPr>
            <w:tcW w:w="3440" w:type="dxa"/>
            <w:vAlign w:val="bottom"/>
          </w:tcPr>
          <w:p>
            <w:pPr>
              <w:spacing w:after="0"/>
              <w:rPr>
                <w:sz w:val="24"/>
                <w:szCs w:val="24"/>
                <w:color w:val="auto"/>
              </w:rPr>
            </w:pPr>
          </w:p>
        </w:tc>
        <w:tc>
          <w:tcPr>
            <w:tcW w:w="7780" w:type="dxa"/>
            <w:vAlign w:val="bottom"/>
            <w:gridSpan w:val="5"/>
          </w:tcPr>
          <w:p>
            <w:pPr>
              <w:jc w:val="center"/>
              <w:ind w:right="3460"/>
              <w:spacing w:after="0"/>
              <w:rPr>
                <w:sz w:val="20"/>
                <w:szCs w:val="20"/>
                <w:color w:val="auto"/>
              </w:rPr>
            </w:pPr>
            <w:r>
              <w:rPr>
                <w:rFonts w:ascii="Times New Roman" w:cs="Times New Roman" w:eastAsia="Times New Roman" w:hAnsi="Times New Roman"/>
                <w:sz w:val="20"/>
                <w:szCs w:val="20"/>
                <w:b w:val="1"/>
                <w:bCs w:val="1"/>
                <w:color w:val="auto"/>
                <w:w w:val="98"/>
              </w:rPr>
              <w:t>Host Hotels &amp; Resorts, L.P.</w:t>
            </w:r>
          </w:p>
        </w:tc>
      </w:tr>
      <w:tr>
        <w:trPr>
          <w:trHeight w:val="229"/>
        </w:trPr>
        <w:tc>
          <w:tcPr>
            <w:tcW w:w="3440" w:type="dxa"/>
            <w:vAlign w:val="bottom"/>
          </w:tcPr>
          <w:p>
            <w:pPr>
              <w:spacing w:after="0"/>
              <w:rPr>
                <w:sz w:val="19"/>
                <w:szCs w:val="19"/>
                <w:color w:val="auto"/>
              </w:rPr>
            </w:pPr>
          </w:p>
        </w:tc>
        <w:tc>
          <w:tcPr>
            <w:tcW w:w="7780" w:type="dxa"/>
            <w:vAlign w:val="bottom"/>
            <w:gridSpan w:val="5"/>
          </w:tcPr>
          <w:p>
            <w:pPr>
              <w:jc w:val="center"/>
              <w:ind w:right="3460"/>
              <w:spacing w:after="0"/>
              <w:rPr>
                <w:sz w:val="20"/>
                <w:szCs w:val="20"/>
                <w:color w:val="auto"/>
              </w:rPr>
            </w:pPr>
            <w:r>
              <w:rPr>
                <w:rFonts w:ascii="Times New Roman" w:cs="Times New Roman" w:eastAsia="Times New Roman" w:hAnsi="Times New Roman"/>
                <w:sz w:val="20"/>
                <w:szCs w:val="20"/>
                <w:color w:val="auto"/>
                <w:w w:val="97"/>
              </w:rPr>
              <w:t>Pricing Term Sheet</w:t>
            </w:r>
          </w:p>
        </w:tc>
      </w:tr>
      <w:tr>
        <w:trPr>
          <w:trHeight w:val="243"/>
        </w:trPr>
        <w:tc>
          <w:tcPr>
            <w:tcW w:w="3440" w:type="dxa"/>
            <w:vAlign w:val="bottom"/>
          </w:tcPr>
          <w:p>
            <w:pPr>
              <w:spacing w:after="0"/>
              <w:rPr>
                <w:sz w:val="21"/>
                <w:szCs w:val="21"/>
                <w:color w:val="auto"/>
              </w:rPr>
            </w:pPr>
          </w:p>
        </w:tc>
        <w:tc>
          <w:tcPr>
            <w:tcW w:w="7780" w:type="dxa"/>
            <w:vAlign w:val="bottom"/>
            <w:gridSpan w:val="5"/>
          </w:tcPr>
          <w:p>
            <w:pPr>
              <w:jc w:val="center"/>
              <w:ind w:right="3440"/>
              <w:spacing w:after="0"/>
              <w:rPr>
                <w:sz w:val="20"/>
                <w:szCs w:val="20"/>
                <w:color w:val="auto"/>
              </w:rPr>
            </w:pPr>
            <w:r>
              <w:rPr>
                <w:rFonts w:ascii="Times New Roman" w:cs="Times New Roman" w:eastAsia="Times New Roman" w:hAnsi="Times New Roman"/>
                <w:sz w:val="20"/>
                <w:szCs w:val="20"/>
                <w:color w:val="auto"/>
                <w:w w:val="98"/>
              </w:rPr>
              <w:t>5.700% Series M Senior Notes due 2032</w:t>
            </w:r>
          </w:p>
        </w:tc>
      </w:tr>
      <w:tr>
        <w:trPr>
          <w:trHeight w:val="258"/>
        </w:trPr>
        <w:tc>
          <w:tcPr>
            <w:tcW w:w="3440" w:type="dxa"/>
            <w:vAlign w:val="bottom"/>
          </w:tcPr>
          <w:p>
            <w:pPr>
              <w:spacing w:after="0"/>
              <w:rPr>
                <w:sz w:val="22"/>
                <w:szCs w:val="22"/>
                <w:color w:val="auto"/>
              </w:rPr>
            </w:pPr>
          </w:p>
        </w:tc>
        <w:tc>
          <w:tcPr>
            <w:tcW w:w="7780" w:type="dxa"/>
            <w:vAlign w:val="bottom"/>
            <w:gridSpan w:val="5"/>
          </w:tcPr>
          <w:p>
            <w:pPr>
              <w:jc w:val="center"/>
              <w:ind w:right="3460"/>
              <w:spacing w:after="0"/>
              <w:rPr>
                <w:sz w:val="20"/>
                <w:szCs w:val="20"/>
                <w:color w:val="auto"/>
              </w:rPr>
            </w:pPr>
            <w:r>
              <w:rPr>
                <w:rFonts w:ascii="Times New Roman" w:cs="Times New Roman" w:eastAsia="Times New Roman" w:hAnsi="Times New Roman"/>
                <w:sz w:val="20"/>
                <w:szCs w:val="20"/>
                <w:color w:val="auto"/>
                <w:w w:val="98"/>
              </w:rPr>
              <w:t>May 6, 2025</w:t>
            </w:r>
          </w:p>
        </w:tc>
      </w:tr>
      <w:tr>
        <w:trPr>
          <w:trHeight w:val="453"/>
        </w:trPr>
        <w:tc>
          <w:tcPr>
            <w:tcW w:w="3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Issuer:</w:t>
            </w:r>
          </w:p>
        </w:tc>
        <w:tc>
          <w:tcPr>
            <w:tcW w:w="7780" w:type="dxa"/>
            <w:vAlign w:val="bottom"/>
            <w:gridSpan w:val="5"/>
          </w:tcPr>
          <w:p>
            <w:pPr>
              <w:ind w:left="880"/>
              <w:spacing w:after="0"/>
              <w:rPr>
                <w:sz w:val="20"/>
                <w:szCs w:val="20"/>
                <w:color w:val="auto"/>
              </w:rPr>
            </w:pPr>
            <w:r>
              <w:rPr>
                <w:rFonts w:ascii="Times New Roman" w:cs="Times New Roman" w:eastAsia="Times New Roman" w:hAnsi="Times New Roman"/>
                <w:sz w:val="20"/>
                <w:szCs w:val="20"/>
                <w:color w:val="auto"/>
              </w:rPr>
              <w:t>Host Hotels &amp; Resorts, L.P., a Delaware limited partnership (the “Company”)</w:t>
            </w:r>
          </w:p>
        </w:tc>
      </w:tr>
      <w:tr>
        <w:trPr>
          <w:trHeight w:val="540"/>
        </w:trPr>
        <w:tc>
          <w:tcPr>
            <w:tcW w:w="3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Ratings (Moody’s / S&amp;P / Fitch)*:</w:t>
            </w:r>
          </w:p>
        </w:tc>
        <w:tc>
          <w:tcPr>
            <w:tcW w:w="6120" w:type="dxa"/>
            <w:vAlign w:val="bottom"/>
            <w:gridSpan w:val="3"/>
          </w:tcPr>
          <w:p>
            <w:pPr>
              <w:ind w:left="880"/>
              <w:spacing w:after="0"/>
              <w:rPr>
                <w:sz w:val="20"/>
                <w:szCs w:val="20"/>
                <w:color w:val="auto"/>
              </w:rPr>
            </w:pPr>
            <w:r>
              <w:rPr>
                <w:rFonts w:ascii="Times New Roman" w:cs="Times New Roman" w:eastAsia="Times New Roman" w:hAnsi="Times New Roman"/>
                <w:sz w:val="20"/>
                <w:szCs w:val="20"/>
                <w:color w:val="auto"/>
              </w:rPr>
              <w:t>Baa3 (Positive) / BBB- (Stable) / BBB (Stable)</w:t>
            </w:r>
          </w:p>
        </w:tc>
        <w:tc>
          <w:tcPr>
            <w:tcW w:w="76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r>
      <w:tr>
        <w:trPr>
          <w:trHeight w:val="466"/>
        </w:trPr>
        <w:tc>
          <w:tcPr>
            <w:tcW w:w="3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Title of Securities:</w:t>
            </w:r>
          </w:p>
        </w:tc>
        <w:tc>
          <w:tcPr>
            <w:tcW w:w="7780" w:type="dxa"/>
            <w:vAlign w:val="bottom"/>
            <w:gridSpan w:val="5"/>
          </w:tcPr>
          <w:p>
            <w:pPr>
              <w:ind w:left="880"/>
              <w:spacing w:after="0"/>
              <w:rPr>
                <w:sz w:val="20"/>
                <w:szCs w:val="20"/>
                <w:color w:val="auto"/>
              </w:rPr>
            </w:pPr>
            <w:r>
              <w:rPr>
                <w:rFonts w:ascii="Times New Roman" w:cs="Times New Roman" w:eastAsia="Times New Roman" w:hAnsi="Times New Roman"/>
                <w:sz w:val="20"/>
                <w:szCs w:val="20"/>
                <w:color w:val="auto"/>
              </w:rPr>
              <w:t>5.700% Series M Senior Notes due 2032 (the “Notes”)</w:t>
            </w:r>
          </w:p>
        </w:tc>
      </w:tr>
      <w:tr>
        <w:trPr>
          <w:trHeight w:val="526"/>
        </w:trPr>
        <w:tc>
          <w:tcPr>
            <w:tcW w:w="3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Aggregate Principal Amount:</w:t>
            </w:r>
          </w:p>
        </w:tc>
        <w:tc>
          <w:tcPr>
            <w:tcW w:w="460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$500,000,000</w:t>
            </w:r>
          </w:p>
        </w:tc>
        <w:tc>
          <w:tcPr>
            <w:tcW w:w="460" w:type="dxa"/>
            <w:vAlign w:val="bottom"/>
            <w:tcBorders>
              <w:top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73"/>
        </w:trPr>
        <w:tc>
          <w:tcPr>
            <w:tcW w:w="3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Trade Date:</w:t>
            </w:r>
          </w:p>
        </w:tc>
        <w:tc>
          <w:tcPr>
            <w:tcW w:w="7780" w:type="dxa"/>
            <w:vAlign w:val="bottom"/>
            <w:gridSpan w:val="5"/>
          </w:tcPr>
          <w:p>
            <w:pPr>
              <w:ind w:left="880"/>
              <w:spacing w:after="0"/>
              <w:rPr>
                <w:sz w:val="20"/>
                <w:szCs w:val="20"/>
                <w:color w:val="auto"/>
              </w:rPr>
            </w:pPr>
            <w:r>
              <w:rPr>
                <w:rFonts w:ascii="Times New Roman" w:cs="Times New Roman" w:eastAsia="Times New Roman" w:hAnsi="Times New Roman"/>
                <w:sz w:val="20"/>
                <w:szCs w:val="20"/>
                <w:color w:val="auto"/>
              </w:rPr>
              <w:t>May 6, 2025</w:t>
            </w:r>
          </w:p>
        </w:tc>
      </w:tr>
      <w:tr>
        <w:trPr>
          <w:trHeight w:val="473"/>
        </w:trPr>
        <w:tc>
          <w:tcPr>
            <w:tcW w:w="3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Settlement Date:</w:t>
            </w:r>
          </w:p>
        </w:tc>
        <w:tc>
          <w:tcPr>
            <w:tcW w:w="7780" w:type="dxa"/>
            <w:vAlign w:val="bottom"/>
            <w:gridSpan w:val="5"/>
          </w:tcPr>
          <w:p>
            <w:pPr>
              <w:ind w:left="880"/>
              <w:spacing w:after="0"/>
              <w:rPr>
                <w:sz w:val="20"/>
                <w:szCs w:val="20"/>
                <w:color w:val="auto"/>
              </w:rPr>
            </w:pPr>
            <w:r>
              <w:rPr>
                <w:rFonts w:ascii="Times New Roman" w:cs="Times New Roman" w:eastAsia="Times New Roman" w:hAnsi="Times New Roman"/>
                <w:sz w:val="20"/>
                <w:szCs w:val="20"/>
                <w:color w:val="auto"/>
              </w:rPr>
              <w:t>May 20, 2025 (T+10)</w:t>
            </w:r>
          </w:p>
        </w:tc>
      </w:tr>
      <w:tr>
        <w:trPr>
          <w:trHeight w:val="473"/>
        </w:trPr>
        <w:tc>
          <w:tcPr>
            <w:tcW w:w="3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Final Maturity Date:</w:t>
            </w:r>
          </w:p>
        </w:tc>
        <w:tc>
          <w:tcPr>
            <w:tcW w:w="7780" w:type="dxa"/>
            <w:vAlign w:val="bottom"/>
            <w:gridSpan w:val="5"/>
          </w:tcPr>
          <w:p>
            <w:pPr>
              <w:ind w:left="880"/>
              <w:spacing w:after="0"/>
              <w:rPr>
                <w:sz w:val="20"/>
                <w:szCs w:val="20"/>
                <w:color w:val="auto"/>
              </w:rPr>
            </w:pPr>
            <w:r>
              <w:rPr>
                <w:rFonts w:ascii="Times New Roman" w:cs="Times New Roman" w:eastAsia="Times New Roman" w:hAnsi="Times New Roman"/>
                <w:sz w:val="20"/>
                <w:szCs w:val="20"/>
                <w:color w:val="auto"/>
              </w:rPr>
              <w:t>June 15, 2032</w:t>
            </w:r>
          </w:p>
        </w:tc>
      </w:tr>
      <w:tr>
        <w:trPr>
          <w:trHeight w:val="473"/>
        </w:trPr>
        <w:tc>
          <w:tcPr>
            <w:tcW w:w="3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Interest Payment Dates:</w:t>
            </w:r>
          </w:p>
        </w:tc>
        <w:tc>
          <w:tcPr>
            <w:tcW w:w="7780" w:type="dxa"/>
            <w:vAlign w:val="bottom"/>
            <w:gridSpan w:val="5"/>
          </w:tcPr>
          <w:p>
            <w:pPr>
              <w:ind w:left="880"/>
              <w:spacing w:after="0"/>
              <w:rPr>
                <w:sz w:val="20"/>
                <w:szCs w:val="20"/>
                <w:color w:val="auto"/>
              </w:rPr>
            </w:pPr>
            <w:r>
              <w:rPr>
                <w:rFonts w:ascii="Times New Roman" w:cs="Times New Roman" w:eastAsia="Times New Roman" w:hAnsi="Times New Roman"/>
                <w:sz w:val="20"/>
                <w:szCs w:val="20"/>
                <w:color w:val="auto"/>
              </w:rPr>
              <w:t>June 15 and December 15, commencing December 15, 2025</w:t>
            </w:r>
          </w:p>
        </w:tc>
      </w:tr>
      <w:tr>
        <w:trPr>
          <w:trHeight w:val="473"/>
        </w:trPr>
        <w:tc>
          <w:tcPr>
            <w:tcW w:w="3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Record Dates:</w:t>
            </w:r>
          </w:p>
        </w:tc>
        <w:tc>
          <w:tcPr>
            <w:tcW w:w="7780" w:type="dxa"/>
            <w:vAlign w:val="bottom"/>
            <w:gridSpan w:val="5"/>
          </w:tcPr>
          <w:p>
            <w:pPr>
              <w:ind w:left="880"/>
              <w:spacing w:after="0"/>
              <w:rPr>
                <w:sz w:val="20"/>
                <w:szCs w:val="20"/>
                <w:color w:val="auto"/>
              </w:rPr>
            </w:pPr>
            <w:r>
              <w:rPr>
                <w:rFonts w:ascii="Times New Roman" w:cs="Times New Roman" w:eastAsia="Times New Roman" w:hAnsi="Times New Roman"/>
                <w:sz w:val="20"/>
                <w:szCs w:val="20"/>
                <w:color w:val="auto"/>
              </w:rPr>
              <w:t>June 1 and December 1</w:t>
            </w:r>
          </w:p>
        </w:tc>
      </w:tr>
      <w:tr>
        <w:trPr>
          <w:trHeight w:val="486"/>
        </w:trPr>
        <w:tc>
          <w:tcPr>
            <w:tcW w:w="3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Price to Public:</w:t>
            </w:r>
          </w:p>
        </w:tc>
        <w:tc>
          <w:tcPr>
            <w:tcW w:w="7780" w:type="dxa"/>
            <w:vAlign w:val="bottom"/>
            <w:gridSpan w:val="5"/>
          </w:tcPr>
          <w:p>
            <w:pPr>
              <w:ind w:left="880"/>
              <w:spacing w:after="0"/>
              <w:rPr>
                <w:sz w:val="20"/>
                <w:szCs w:val="20"/>
                <w:color w:val="auto"/>
              </w:rPr>
            </w:pPr>
            <w:r>
              <w:rPr>
                <w:rFonts w:ascii="Times New Roman" w:cs="Times New Roman" w:eastAsia="Times New Roman" w:hAnsi="Times New Roman"/>
                <w:sz w:val="20"/>
                <w:szCs w:val="20"/>
                <w:color w:val="auto"/>
              </w:rPr>
              <w:t>98.868%, plus accrued interest from May 20, 2025</w:t>
            </w:r>
          </w:p>
        </w:tc>
      </w:tr>
      <w:tr>
        <w:trPr>
          <w:trHeight w:val="513"/>
        </w:trPr>
        <w:tc>
          <w:tcPr>
            <w:tcW w:w="3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Gross Proceeds:</w:t>
            </w:r>
          </w:p>
        </w:tc>
        <w:tc>
          <w:tcPr>
            <w:tcW w:w="460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$494,340,000</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13"/>
        </w:trPr>
        <w:tc>
          <w:tcPr>
            <w:tcW w:w="3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Coupon:</w:t>
            </w:r>
          </w:p>
        </w:tc>
        <w:tc>
          <w:tcPr>
            <w:tcW w:w="460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5.700%</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13"/>
        </w:trPr>
        <w:tc>
          <w:tcPr>
            <w:tcW w:w="3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Yield to Maturity:</w:t>
            </w:r>
          </w:p>
        </w:tc>
        <w:tc>
          <w:tcPr>
            <w:tcW w:w="460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5.897%</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00"/>
        </w:trPr>
        <w:tc>
          <w:tcPr>
            <w:tcW w:w="3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Spread to Benchmark Treasury:</w:t>
            </w:r>
          </w:p>
        </w:tc>
        <w:tc>
          <w:tcPr>
            <w:tcW w:w="7780" w:type="dxa"/>
            <w:vAlign w:val="bottom"/>
            <w:gridSpan w:val="5"/>
          </w:tcPr>
          <w:p>
            <w:pPr>
              <w:ind w:left="940"/>
              <w:spacing w:after="0"/>
              <w:rPr>
                <w:sz w:val="20"/>
                <w:szCs w:val="20"/>
                <w:color w:val="auto"/>
              </w:rPr>
            </w:pPr>
            <w:r>
              <w:rPr>
                <w:rFonts w:ascii="Times New Roman" w:cs="Times New Roman" w:eastAsia="Times New Roman" w:hAnsi="Times New Roman"/>
                <w:sz w:val="20"/>
                <w:szCs w:val="20"/>
                <w:color w:val="auto"/>
              </w:rPr>
              <w:t>+180 basis points</w:t>
            </w:r>
          </w:p>
        </w:tc>
      </w:tr>
      <w:tr>
        <w:trPr>
          <w:trHeight w:val="473"/>
        </w:trPr>
        <w:tc>
          <w:tcPr>
            <w:tcW w:w="3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Benchmark Treasury:</w:t>
            </w:r>
          </w:p>
        </w:tc>
        <w:tc>
          <w:tcPr>
            <w:tcW w:w="7780" w:type="dxa"/>
            <w:vAlign w:val="bottom"/>
            <w:gridSpan w:val="5"/>
          </w:tcPr>
          <w:p>
            <w:pPr>
              <w:ind w:left="880"/>
              <w:spacing w:after="0"/>
              <w:rPr>
                <w:sz w:val="20"/>
                <w:szCs w:val="20"/>
                <w:color w:val="auto"/>
              </w:rPr>
            </w:pPr>
            <w:r>
              <w:rPr>
                <w:rFonts w:ascii="Times New Roman" w:cs="Times New Roman" w:eastAsia="Times New Roman" w:hAnsi="Times New Roman"/>
                <w:sz w:val="20"/>
                <w:szCs w:val="20"/>
                <w:color w:val="auto"/>
              </w:rPr>
              <w:t>UST 4.000% due April 30, 2032</w:t>
            </w:r>
          </w:p>
        </w:tc>
      </w:tr>
      <w:tr>
        <w:trPr>
          <w:trHeight w:val="486"/>
        </w:trPr>
        <w:tc>
          <w:tcPr>
            <w:tcW w:w="3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Benchmark Treasury Yield:</w:t>
            </w:r>
          </w:p>
        </w:tc>
        <w:tc>
          <w:tcPr>
            <w:tcW w:w="460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4.097%</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220"/>
          </w:cols>
          <w:pgMar w:left="340" w:top="1440" w:right="339" w:bottom="1440" w:gutter="0" w:footer="0" w:header="0"/>
        </w:sectPr>
      </w:pPr>
    </w:p>
    <w:bookmarkStart w:id="1" w:name="page2"/>
    <w:bookmarkEnd w:id="1"/>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CUSIP / ISIN: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Proceeds: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Prior to April 16, 2032 (60 days prior to their maturity date) (the “</w:t>
      </w:r>
      <w:r>
        <w:rPr>
          <w:rFonts w:ascii="Times New Roman" w:cs="Times New Roman" w:eastAsia="Times New Roman" w:hAnsi="Times New Roman"/>
          <w:sz w:val="20"/>
          <w:szCs w:val="20"/>
          <w:u w:val="single" w:color="auto"/>
          <w:color w:val="auto"/>
        </w:rPr>
        <w:t>Par Call Date</w:t>
      </w:r>
      <w:r>
        <w:rPr>
          <w:rFonts w:ascii="Times New Roman" w:cs="Times New Roman" w:eastAsia="Times New Roman" w:hAnsi="Times New Roman"/>
          <w:sz w:val="20"/>
          <w:szCs w:val="20"/>
          <w:color w:val="auto"/>
        </w:rPr>
        <w:t>”), the Company may redeem the Notes at its option, at any time in whole or from time to time in part, at a redemption price (expressed as a percentage of principal amount and rounded to three decimal places) equal to the greater of:</w:t>
      </w:r>
    </w:p>
    <w:p>
      <w:pPr>
        <w:spacing w:after="0" w:line="172" w:lineRule="exact"/>
        <w:rPr>
          <w:sz w:val="20"/>
          <w:szCs w:val="20"/>
          <w:color w:val="auto"/>
        </w:rPr>
      </w:pPr>
    </w:p>
    <w:p>
      <w:pPr>
        <w:ind w:left="320" w:hanging="314"/>
        <w:spacing w:after="0"/>
        <w:tabs>
          <w:tab w:leader="none" w:pos="3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 of the principal amount of the Notes to be redeemed; and</w:t>
      </w:r>
    </w:p>
    <w:p>
      <w:pPr>
        <w:spacing w:after="0" w:line="229" w:lineRule="exact"/>
        <w:rPr>
          <w:rFonts w:ascii="Times New Roman" w:cs="Times New Roman" w:eastAsia="Times New Roman" w:hAnsi="Times New Roman"/>
          <w:sz w:val="20"/>
          <w:szCs w:val="20"/>
          <w:color w:val="auto"/>
        </w:rPr>
      </w:pPr>
    </w:p>
    <w:p>
      <w:pPr>
        <w:ind w:left="340" w:hanging="334"/>
        <w:spacing w:after="0" w:line="253" w:lineRule="auto"/>
        <w:tabs>
          <w:tab w:leader="none" w:pos="32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 sum of the present values of the remaining scheduled payments of principal and interest on the Notes to be redeemed, in each case discounted to the redemption date (assuming the Notes matured on the Par Call Date) on a semi-annual basis (assuming a 360-day year consisting of twelve 30-day months) at the Treasury Rate plus 30 basis points, less (b) interest accrued thereon to the date of redemption,</w:t>
      </w:r>
    </w:p>
    <w:p>
      <w:pPr>
        <w:spacing w:after="0" w:line="188" w:lineRule="exact"/>
        <w:rPr>
          <w:sz w:val="20"/>
          <w:szCs w:val="20"/>
          <w:color w:val="auto"/>
        </w:rPr>
      </w:pPr>
    </w:p>
    <w:p>
      <w:pPr>
        <w:ind w:right="440"/>
        <w:spacing w:after="0" w:line="273" w:lineRule="auto"/>
        <w:rPr>
          <w:sz w:val="20"/>
          <w:szCs w:val="20"/>
          <w:color w:val="auto"/>
        </w:rPr>
      </w:pP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in either case, accrued and unpaid interest thereon to, but not including,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redemption date.</w:t>
      </w:r>
    </w:p>
    <w:p>
      <w:pPr>
        <w:spacing w:after="0" w:line="1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At any time on or after the Par Call Date, the Notes will be redeemable as a whole or in part, at any time and from time to time, at the Company’s option, at a redemption price equal to 100% of the principal amount of the Notes to be redeemed plus accrued and unpaid interest on the Notes to be redeemed to, but not including, the date of redemption.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44107T BD7 / US44107TBD72</w:t>
      </w:r>
    </w:p>
    <w:p>
      <w:pPr>
        <w:spacing w:after="0" w:line="200" w:lineRule="exact"/>
        <w:rPr>
          <w:sz w:val="20"/>
          <w:szCs w:val="20"/>
          <w:color w:val="auto"/>
        </w:rPr>
      </w:pPr>
    </w:p>
    <w:p>
      <w:pPr>
        <w:spacing w:after="0" w:line="27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 xml:space="preserve">The Company estimates the net proceeds from the sale of the Notes will be approximately $490 million, after deducting the underwriting discount, </w:t>
      </w:r>
      <w:r>
        <w:rPr>
          <w:rFonts w:ascii="Times New Roman" w:cs="Times New Roman" w:eastAsia="Times New Roman" w:hAnsi="Times New Roman"/>
          <w:sz w:val="20"/>
          <w:szCs w:val="20"/>
          <w:i w:val="1"/>
          <w:iCs w:val="1"/>
          <w:color w:val="auto"/>
        </w:rPr>
        <w:t>de minimis</w:t>
      </w:r>
      <w:r>
        <w:rPr>
          <w:rFonts w:ascii="Times New Roman" w:cs="Times New Roman" w:eastAsia="Times New Roman" w:hAnsi="Times New Roman"/>
          <w:sz w:val="20"/>
          <w:szCs w:val="20"/>
          <w:color w:val="auto"/>
        </w:rPr>
        <w:t xml:space="preserve"> original issue discount, fees and expenses payable by the Company. The Company intends to use the net proceeds from the sale of the Notes, together with cash on hand, to redeem all of the outstanding $500 million aggregate principal amount of the Company’s Series E senior notes due 2025 (the “</w:t>
      </w:r>
      <w:r>
        <w:rPr>
          <w:rFonts w:ascii="Times New Roman" w:cs="Times New Roman" w:eastAsia="Times New Roman" w:hAnsi="Times New Roman"/>
          <w:sz w:val="20"/>
          <w:szCs w:val="20"/>
          <w:u w:val="single" w:color="auto"/>
          <w:color w:val="auto"/>
        </w:rPr>
        <w:t>Series E Senior Notes</w:t>
      </w:r>
      <w:r>
        <w:rPr>
          <w:rFonts w:ascii="Times New Roman" w:cs="Times New Roman" w:eastAsia="Times New Roman" w:hAnsi="Times New Roman"/>
          <w:sz w:val="20"/>
          <w:szCs w:val="20"/>
          <w:color w:val="auto"/>
        </w:rPr>
        <w:t>”) at an aggregate redemption price of $500 million, not including accrued interest.</w:t>
      </w:r>
    </w:p>
    <w:p>
      <w:pPr>
        <w:sectPr>
          <w:pgSz w:w="11900" w:h="16838" w:orient="portrait"/>
          <w:cols w:equalWidth="0" w:num="2">
            <w:col w:w="3600" w:space="720"/>
            <w:col w:w="6820"/>
          </w:cols>
          <w:pgMar w:left="340" w:top="1440" w:right="419" w:bottom="1440" w:gutter="0" w:footer="0" w:header="0"/>
        </w:sectPr>
      </w:pPr>
    </w:p>
    <w:bookmarkStart w:id="2" w:name="page3"/>
    <w:bookmarkEnd w:id="2"/>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Underwriters:</w:t>
      </w:r>
    </w:p>
    <w:p>
      <w:pPr>
        <w:sectPr>
          <w:pgSz w:w="11900" w:h="16838" w:orient="portrait"/>
          <w:cols w:equalWidth="0" w:num="1">
            <w:col w:w="11180"/>
          </w:cols>
          <w:pgMar w:left="320" w:top="1440" w:right="399" w:bottom="1440" w:gutter="0" w:footer="0" w:header="0"/>
        </w:sectPr>
      </w:pP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i w:val="1"/>
          <w:iCs w:val="1"/>
          <w:color w:val="auto"/>
        </w:rPr>
        <w:t>Joint Book-Running Managers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Morgan Stanley &amp; Co. LLC</w:t>
      </w:r>
    </w:p>
    <w:p>
      <w:pPr>
        <w:spacing w:after="0" w:line="40" w:lineRule="exact"/>
        <w:rPr>
          <w:sz w:val="20"/>
          <w:szCs w:val="20"/>
          <w:color w:val="auto"/>
        </w:rPr>
      </w:pPr>
    </w:p>
    <w:p>
      <w:pPr>
        <w:sectPr>
          <w:pgSz w:w="11900" w:h="16838" w:orient="portrait"/>
          <w:cols w:equalWidth="0" w:num="2">
            <w:col w:w="3620" w:space="720"/>
            <w:col w:w="6840"/>
          </w:cols>
          <w:pgMar w:left="320" w:top="1440" w:right="399" w:bottom="1440" w:gutter="0" w:footer="0" w:header="0"/>
          <w:type w:val="continuous"/>
        </w:sectPr>
      </w:pPr>
    </w:p>
    <w:p>
      <w:pPr>
        <w:ind w:left="4340"/>
        <w:spacing w:after="0"/>
        <w:rPr>
          <w:sz w:val="20"/>
          <w:szCs w:val="20"/>
          <w:color w:val="auto"/>
        </w:rPr>
      </w:pPr>
      <w:r>
        <w:rPr>
          <w:rFonts w:ascii="Times New Roman" w:cs="Times New Roman" w:eastAsia="Times New Roman" w:hAnsi="Times New Roman"/>
          <w:sz w:val="20"/>
          <w:szCs w:val="20"/>
          <w:color w:val="auto"/>
        </w:rPr>
        <w:t>BofA Securities, Inc.</w:t>
      </w:r>
    </w:p>
    <w:p>
      <w:pPr>
        <w:spacing w:after="0" w:line="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J.P. Morgan Securities LLC</w:t>
      </w:r>
    </w:p>
    <w:p>
      <w:pPr>
        <w:spacing w:after="0" w:line="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Wells Fargo Securities, LLC</w:t>
      </w:r>
    </w:p>
    <w:p>
      <w:pPr>
        <w:spacing w:after="0" w:line="1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Goldman Sachs &amp; Co. LLC</w:t>
      </w:r>
    </w:p>
    <w:p>
      <w:pPr>
        <w:spacing w:after="0" w:line="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Truist Securities, Inc.</w:t>
      </w:r>
    </w:p>
    <w:p>
      <w:pPr>
        <w:sectPr>
          <w:pgSz w:w="11900" w:h="16838" w:orient="portrait"/>
          <w:cols w:equalWidth="0" w:num="1">
            <w:col w:w="11180"/>
          </w:cols>
          <w:pgMar w:left="320" w:top="1440" w:right="399" w:bottom="1440" w:gutter="0" w:footer="0" w:header="0"/>
          <w:type w:val="continuous"/>
        </w:sectPr>
      </w:pP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i w:val="1"/>
          <w:iCs w:val="1"/>
          <w:color w:val="auto"/>
        </w:rPr>
        <w:t>Co-Managers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PNC Capital Markets LLC</w:t>
      </w:r>
    </w:p>
    <w:p>
      <w:pPr>
        <w:spacing w:after="0" w:line="40" w:lineRule="exact"/>
        <w:rPr>
          <w:sz w:val="20"/>
          <w:szCs w:val="20"/>
          <w:color w:val="auto"/>
        </w:rPr>
      </w:pPr>
    </w:p>
    <w:p>
      <w:pPr>
        <w:sectPr>
          <w:pgSz w:w="11900" w:h="16838" w:orient="portrait"/>
          <w:cols w:equalWidth="0" w:num="2">
            <w:col w:w="3620" w:space="720"/>
            <w:col w:w="6840"/>
          </w:cols>
          <w:pgMar w:left="320" w:top="1440" w:right="399" w:bottom="1440" w:gutter="0" w:footer="0" w:header="0"/>
          <w:type w:val="continuous"/>
        </w:sectPr>
      </w:pPr>
    </w:p>
    <w:p>
      <w:pPr>
        <w:ind w:left="4340"/>
        <w:spacing w:after="0"/>
        <w:rPr>
          <w:sz w:val="20"/>
          <w:szCs w:val="20"/>
          <w:color w:val="auto"/>
        </w:rPr>
      </w:pPr>
      <w:r>
        <w:rPr>
          <w:rFonts w:ascii="Times New Roman" w:cs="Times New Roman" w:eastAsia="Times New Roman" w:hAnsi="Times New Roman"/>
          <w:sz w:val="20"/>
          <w:szCs w:val="20"/>
          <w:color w:val="auto"/>
        </w:rPr>
        <w:t>Scotia Capital (USA) Inc.</w:t>
      </w:r>
    </w:p>
    <w:p>
      <w:pPr>
        <w:spacing w:after="0" w:line="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SMBC Nikko Securities America, Inc.</w:t>
      </w:r>
    </w:p>
    <w:p>
      <w:pPr>
        <w:spacing w:after="0" w:line="1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TD Securities (USA) LLC</w:t>
      </w:r>
    </w:p>
    <w:p>
      <w:pPr>
        <w:spacing w:after="0" w:line="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BNY Mellon Capital Markets, LLC</w:t>
      </w:r>
    </w:p>
    <w:p>
      <w:pPr>
        <w:spacing w:after="0" w:line="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Credit Agricole Securities (USA) Inc.</w:t>
      </w:r>
    </w:p>
    <w:p>
      <w:pPr>
        <w:spacing w:after="0" w:line="1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Samuel A. Ramirez &amp; Company, Inc.</w:t>
      </w:r>
    </w:p>
    <w:p>
      <w:pPr>
        <w:sectPr>
          <w:pgSz w:w="11900" w:h="16838" w:orient="portrait"/>
          <w:cols w:equalWidth="0" w:num="1">
            <w:col w:w="11180"/>
          </w:cols>
          <w:pgMar w:left="320" w:top="1440" w:right="399" w:bottom="1440" w:gutter="0" w:footer="0" w:header="0"/>
          <w:type w:val="continuous"/>
        </w:sect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Other Relationships: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20"/>
          <w:szCs w:val="20"/>
          <w:color w:val="auto"/>
        </w:rPr>
        <w:t>Certain of the underwriters or their affiliates may hold the Series E Senior Notes and as a result of the redemption thereof as set forth under the heading “Use of Proceeds,” may receive a portion of the net proceeds from this offering.</w:t>
      </w:r>
    </w:p>
    <w:p>
      <w:pPr>
        <w:spacing w:after="0" w:line="200" w:lineRule="exact"/>
        <w:rPr>
          <w:sz w:val="20"/>
          <w:szCs w:val="20"/>
          <w:color w:val="auto"/>
        </w:rPr>
      </w:pPr>
    </w:p>
    <w:p>
      <w:pPr>
        <w:sectPr>
          <w:pgSz w:w="11900" w:h="16838" w:orient="portrait"/>
          <w:cols w:equalWidth="0" w:num="2">
            <w:col w:w="3620" w:space="720"/>
            <w:col w:w="6840"/>
          </w:cols>
          <w:pgMar w:left="320" w:top="1440" w:right="399" w:bottom="1440" w:gutter="0" w:footer="0" w:header="0"/>
          <w:type w:val="continuous"/>
        </w:sectPr>
      </w:pPr>
    </w:p>
    <w:p>
      <w:pPr>
        <w:spacing w:after="0" w:line="9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Note: A securities rating is not a recommendation to buy, sell or hold securities and may be subject to revision or withdrawal at 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time. Credit ratings are subject to change depending on financial and other factors.</w:t>
      </w:r>
    </w:p>
    <w:p>
      <w:pPr>
        <w:spacing w:after="0" w:line="16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The Company has filed a registration statement (including a prospectus) and a preliminary prospectus with the SEC for the offering to which this communication relates. Before you invest, you should read the prospectus in that registration statement, the preliminary prospectus supplement and other documents the Company has filed with the SEC for more complete information about the Company and this offering. You may obtain these documents for free by visiting EDGAR on the SEC Web site at </w:t>
      </w:r>
      <w:r>
        <w:rPr>
          <w:rFonts w:ascii="Times New Roman" w:cs="Times New Roman" w:eastAsia="Times New Roman" w:hAnsi="Times New Roman"/>
          <w:sz w:val="20"/>
          <w:szCs w:val="20"/>
          <w:b w:val="1"/>
          <w:bCs w:val="1"/>
          <w:u w:val="single" w:color="auto"/>
          <w:color w:val="0000FF"/>
        </w:rPr>
        <w:t>www.sec.gov</w:t>
      </w:r>
      <w:r>
        <w:rPr>
          <w:rFonts w:ascii="Times New Roman" w:cs="Times New Roman" w:eastAsia="Times New Roman" w:hAnsi="Times New Roman"/>
          <w:sz w:val="20"/>
          <w:szCs w:val="20"/>
          <w:b w:val="1"/>
          <w:bCs w:val="1"/>
          <w:color w:val="auto"/>
        </w:rPr>
        <w:t xml:space="preserve">. Alternatively, the Company, any underwriter or any dealer participating in the offering will arrange to send you the prospectus if you request it by calling Morgan Stanley &amp; Co. LLC toll-free at 1-866-718-1649; BofA Securities, Inc. at Toll Free: 1-800-294-1322, or by email at </w:t>
      </w:r>
      <w:r>
        <w:rPr>
          <w:rFonts w:ascii="Times New Roman" w:cs="Times New Roman" w:eastAsia="Times New Roman" w:hAnsi="Times New Roman"/>
          <w:sz w:val="20"/>
          <w:szCs w:val="20"/>
          <w:b w:val="1"/>
          <w:bCs w:val="1"/>
          <w:u w:val="single" w:color="auto"/>
          <w:color w:val="0000FF"/>
        </w:rPr>
        <w:t>dg.prospectus_requests@bofa.com</w:t>
      </w:r>
      <w:r>
        <w:rPr>
          <w:rFonts w:ascii="Times New Roman" w:cs="Times New Roman" w:eastAsia="Times New Roman" w:hAnsi="Times New Roman"/>
          <w:sz w:val="20"/>
          <w:szCs w:val="20"/>
          <w:b w:val="1"/>
          <w:bCs w:val="1"/>
          <w:color w:val="auto"/>
        </w:rPr>
        <w:t xml:space="preserve"> or J.P. Morgan Securities LLC at (collect) (212) 834-4533.</w:t>
      </w:r>
    </w:p>
    <w:sectPr>
      <w:pgSz w:w="11900" w:h="16838" w:orient="portrait"/>
      <w:cols w:equalWidth="0" w:num="1">
        <w:col w:w="11180"/>
      </w:cols>
      <w:pgMar w:left="320" w:top="1440"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2025-05-06T15:20:14Z</dcterms:created>
  <dcterms:modified xsi:type="dcterms:W3CDTF">2025-05-06T15:20:14Z</dcterms:modified>
</cp:coreProperties>
</file>