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HOST HOTELS &amp; RESORTS, L.P.</w:t>
      </w:r>
    </w:p>
    <w:p>
      <w:pPr>
        <w:spacing w:after="0" w:line="2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4747 Bethesda Ave.</w:t>
      </w:r>
    </w:p>
    <w:p>
      <w:pPr>
        <w:spacing w:after="0" w:line="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Suite 1300</w:t>
      </w:r>
    </w:p>
    <w:p>
      <w:pPr>
        <w:spacing w:after="0" w:line="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Bethesda, MD 20814</w:t>
      </w:r>
    </w:p>
    <w:p>
      <w:pPr>
        <w:spacing w:after="0" w:line="20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June 17, 2025</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VIA EDGAR CORRESPONDENCE</w:t>
      </w: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The Securities and Exchange Commission</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Division of Corporation Finance</w:t>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Office of Real Estate &amp; Construction</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 Street, N.E.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Attn: Stacie Gorman, Esq.</w:t>
      </w:r>
    </w:p>
    <w:p>
      <w:pPr>
        <w:spacing w:after="0" w:line="223" w:lineRule="exact"/>
        <w:rPr>
          <w:sz w:val="24"/>
          <w:szCs w:val="24"/>
          <w:color w:val="auto"/>
        </w:rPr>
      </w:pPr>
    </w:p>
    <w:p>
      <w:pPr>
        <w:ind w:left="20"/>
        <w:spacing w:after="0"/>
        <w:tabs>
          <w:tab w:leader="none" w:pos="84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2"/>
          <w:szCs w:val="22"/>
          <w:color w:val="auto"/>
        </w:rPr>
        <w:t>Host Hotels &amp; Resorts, L.P. Registration Statement on Form S-3 (File No. 333-287982)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536575</wp:posOffset>
            </wp:positionH>
            <wp:positionV relativeFrom="paragraph">
              <wp:posOffset>19685</wp:posOffset>
            </wp:positionV>
            <wp:extent cx="65233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23355" cy="8255"/>
                    </a:xfrm>
                    <a:prstGeom prst="rect">
                      <a:avLst/>
                    </a:prstGeom>
                    <a:noFill/>
                  </pic:spPr>
                </pic:pic>
              </a:graphicData>
            </a:graphic>
          </wp:anchor>
        </w:drawing>
      </w:r>
    </w:p>
    <w:p>
      <w:pPr>
        <w:spacing w:after="0" w:line="32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20" w:lineRule="exact"/>
        <w:rPr>
          <w:sz w:val="24"/>
          <w:szCs w:val="24"/>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Pursuant to Rule 461 under the Securities Act of 1933, as amended, Host Hotels &amp; Resorts, L.P.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hereby requests acceleration of the effective date of the Registration Statement referred to above so that it may become effective at 4:00 p.m. U.S. Eastern Time on June 20, 2025 or as soon thereafter as practicable.</w:t>
      </w:r>
    </w:p>
    <w:p>
      <w:pPr>
        <w:spacing w:after="0" w:line="186" w:lineRule="exact"/>
        <w:rPr>
          <w:sz w:val="24"/>
          <w:szCs w:val="24"/>
          <w:color w:val="auto"/>
        </w:rPr>
      </w:pPr>
    </w:p>
    <w:p>
      <w:pPr>
        <w:ind w:right="140" w:firstLine="648"/>
        <w:spacing w:after="0" w:line="271" w:lineRule="auto"/>
        <w:rPr>
          <w:sz w:val="20"/>
          <w:szCs w:val="20"/>
          <w:color w:val="auto"/>
        </w:rPr>
      </w:pPr>
      <w:r>
        <w:rPr>
          <w:rFonts w:ascii="Times New Roman" w:cs="Times New Roman" w:eastAsia="Times New Roman" w:hAnsi="Times New Roman"/>
          <w:sz w:val="22"/>
          <w:szCs w:val="22"/>
          <w:color w:val="auto"/>
        </w:rPr>
        <w:t>In connection with the Company’s request for acceleration of the effective date of the Registration Statement referred to above, the Company, its officers and directors acknowledge the following:</w:t>
      </w:r>
    </w:p>
    <w:p>
      <w:pPr>
        <w:spacing w:after="0" w:line="158" w:lineRule="exact"/>
        <w:rPr>
          <w:sz w:val="24"/>
          <w:szCs w:val="24"/>
          <w:color w:val="auto"/>
        </w:rPr>
      </w:pPr>
    </w:p>
    <w:p>
      <w:pPr>
        <w:ind w:left="660" w:right="740" w:hanging="328"/>
        <w:spacing w:after="0" w:line="271" w:lineRule="auto"/>
        <w:tabs>
          <w:tab w:leader="none" w:pos="655"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should the Commission or the staff, acting pursuant to delegated authority, declare the filing effective, it does not foreclose the Commission from taking any action with respect to the filing;</w:t>
      </w:r>
    </w:p>
    <w:p>
      <w:pPr>
        <w:spacing w:after="0" w:line="157" w:lineRule="exact"/>
        <w:rPr>
          <w:rFonts w:ascii="Times New Roman" w:cs="Times New Roman" w:eastAsia="Times New Roman" w:hAnsi="Times New Roman"/>
          <w:sz w:val="22"/>
          <w:szCs w:val="22"/>
          <w:color w:val="auto"/>
        </w:rPr>
      </w:pPr>
    </w:p>
    <w:p>
      <w:pPr>
        <w:ind w:left="660" w:hanging="328"/>
        <w:spacing w:after="0" w:line="284" w:lineRule="auto"/>
        <w:tabs>
          <w:tab w:leader="none" w:pos="655"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143" w:lineRule="exact"/>
        <w:rPr>
          <w:rFonts w:ascii="Times New Roman" w:cs="Times New Roman" w:eastAsia="Times New Roman" w:hAnsi="Times New Roman"/>
          <w:sz w:val="22"/>
          <w:szCs w:val="22"/>
          <w:color w:val="auto"/>
        </w:rPr>
      </w:pPr>
    </w:p>
    <w:p>
      <w:pPr>
        <w:ind w:left="660" w:right="100" w:hanging="328"/>
        <w:spacing w:after="0" w:line="271" w:lineRule="auto"/>
        <w:tabs>
          <w:tab w:leader="none" w:pos="655"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not assert staff comments and the declaration of effectiveness as a defense in any proceeding initiated by the Commission or any person under the federal securities laws of the United States.</w:t>
      </w:r>
    </w:p>
    <w:p>
      <w:pPr>
        <w:spacing w:after="0" w:line="154"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ectPr>
          <w:pgSz w:w="11900" w:h="16838" w:orient="portrait"/>
          <w:cols w:equalWidth="0" w:num="1">
            <w:col w:w="11160"/>
          </w:cols>
          <w:pgMar w:left="320" w:top="1440" w:right="419" w:bottom="1440" w:gutter="0" w:footer="0" w:header="0"/>
        </w:sectPr>
      </w:pPr>
    </w:p>
    <w:bookmarkStart w:id="1" w:name="page2"/>
    <w:bookmarkEnd w:id="1"/>
    <w:p>
      <w:pPr>
        <w:spacing w:after="0" w:line="3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color w:val="auto"/>
        </w:rPr>
        <w:t>Very truly yours,</w:t>
      </w:r>
    </w:p>
    <w:p>
      <w:pPr>
        <w:spacing w:after="0" w:line="324" w:lineRule="exact"/>
        <w:rPr>
          <w:sz w:val="20"/>
          <w:szCs w:val="20"/>
          <w:color w:val="auto"/>
        </w:rPr>
      </w:pPr>
    </w:p>
    <w:p>
      <w:pPr>
        <w:jc w:val="right"/>
        <w:ind w:right="2619"/>
        <w:spacing w:after="0"/>
        <w:rPr>
          <w:sz w:val="20"/>
          <w:szCs w:val="20"/>
          <w:color w:val="auto"/>
        </w:rPr>
      </w:pPr>
      <w:r>
        <w:rPr>
          <w:rFonts w:ascii="Times New Roman" w:cs="Times New Roman" w:eastAsia="Times New Roman" w:hAnsi="Times New Roman"/>
          <w:sz w:val="22"/>
          <w:szCs w:val="22"/>
          <w:b w:val="1"/>
          <w:bCs w:val="1"/>
          <w:color w:val="auto"/>
        </w:rPr>
        <w:t>HOST HOTELS &amp; RESORTS, L.P.</w:t>
      </w:r>
    </w:p>
    <w:p>
      <w:pPr>
        <w:spacing w:after="0" w:line="332" w:lineRule="exact"/>
        <w:rPr>
          <w:sz w:val="20"/>
          <w:szCs w:val="20"/>
          <w:color w:val="auto"/>
        </w:rPr>
      </w:pPr>
    </w:p>
    <w:tbl>
      <w:tblPr>
        <w:tblLayout w:type="fixed"/>
        <w:tblInd w:w="4200" w:type="dxa"/>
        <w:tblCellMar>
          <w:top w:w="0" w:type="dxa"/>
          <w:left w:w="0" w:type="dxa"/>
          <w:bottom w:w="0" w:type="dxa"/>
          <w:right w:w="0" w:type="dxa"/>
        </w:tblCellMar>
      </w:tblPr>
      <w:tr>
        <w:trPr>
          <w:trHeight w:val="282"/>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74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HOST HOTELS &amp; RESORTS, INC.,</w:t>
            </w:r>
          </w:p>
        </w:tc>
      </w:tr>
      <w:tr>
        <w:trPr>
          <w:trHeight w:val="311"/>
        </w:trPr>
        <w:tc>
          <w:tcPr>
            <w:tcW w:w="800" w:type="dxa"/>
            <w:vAlign w:val="bottom"/>
          </w:tcPr>
          <w:p>
            <w:pPr>
              <w:spacing w:after="0"/>
              <w:rPr>
                <w:sz w:val="24"/>
                <w:szCs w:val="24"/>
                <w:color w:val="auto"/>
              </w:rPr>
            </w:pPr>
          </w:p>
        </w:tc>
        <w:tc>
          <w:tcPr>
            <w:tcW w:w="474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its general partner</w:t>
            </w:r>
          </w:p>
        </w:tc>
      </w:tr>
      <w:tr>
        <w:trPr>
          <w:trHeight w:val="589"/>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2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/s/ Joseph C. Ottinger</w:t>
            </w:r>
          </w:p>
        </w:tc>
        <w:tc>
          <w:tcPr>
            <w:tcW w:w="460" w:type="dxa"/>
            <w:vAlign w:val="bottom"/>
          </w:tcPr>
          <w:p>
            <w:pPr>
              <w:spacing w:after="0"/>
              <w:rPr>
                <w:sz w:val="24"/>
                <w:szCs w:val="24"/>
                <w:color w:val="auto"/>
              </w:rPr>
            </w:pPr>
          </w:p>
        </w:tc>
      </w:tr>
      <w:tr>
        <w:trPr>
          <w:trHeight w:val="295"/>
        </w:trPr>
        <w:tc>
          <w:tcPr>
            <w:tcW w:w="80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w:t>
            </w:r>
          </w:p>
        </w:tc>
        <w:tc>
          <w:tcPr>
            <w:tcW w:w="396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Joseph C. Ottinger</w:t>
            </w:r>
          </w:p>
        </w:tc>
      </w:tr>
      <w:tr>
        <w:trPr>
          <w:trHeight w:val="311"/>
        </w:trPr>
        <w:tc>
          <w:tcPr>
            <w:tcW w:w="80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396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w w:val="97"/>
              </w:rPr>
              <w:t>Senior Vice President, Corporate Controller</w:t>
            </w:r>
          </w:p>
        </w:tc>
      </w:tr>
    </w:tbl>
    <w:p>
      <w:pPr>
        <w:spacing w:after="0" w:line="200" w:lineRule="exact"/>
        <w:rPr>
          <w:sz w:val="20"/>
          <w:szCs w:val="20"/>
          <w:color w:val="auto"/>
        </w:rPr>
      </w:pPr>
    </w:p>
    <w:p>
      <w:pPr>
        <w:spacing w:after="0" w:line="355" w:lineRule="exact"/>
        <w:rPr>
          <w:sz w:val="20"/>
          <w:szCs w:val="20"/>
          <w:color w:val="auto"/>
        </w:rPr>
      </w:pPr>
    </w:p>
    <w:p>
      <w:pPr>
        <w:ind w:left="840" w:right="6879" w:hanging="834"/>
        <w:spacing w:after="0" w:line="322" w:lineRule="auto"/>
        <w:tabs>
          <w:tab w:leader="none" w:pos="84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Julie P. Aslaksen, Esq. William K. Kelso, Esq. Host Hotels &amp; Resorts, Inc.</w:t>
      </w:r>
    </w:p>
    <w:p>
      <w:pPr>
        <w:spacing w:after="0" w:line="216" w:lineRule="exact"/>
        <w:rPr>
          <w:rFonts w:ascii="Times New Roman" w:cs="Times New Roman" w:eastAsia="Times New Roman" w:hAnsi="Times New Roman"/>
          <w:sz w:val="21"/>
          <w:szCs w:val="21"/>
          <w:color w:val="auto"/>
        </w:rPr>
      </w:pPr>
    </w:p>
    <w:p>
      <w:pPr>
        <w:ind w:left="840" w:right="7199"/>
        <w:spacing w:after="0" w:line="34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Jason M. Licht, Esq. Latham &amp; Watkins LLP</w:t>
      </w:r>
    </w:p>
    <w:sectPr>
      <w:pgSz w:w="11900" w:h="16838" w:orient="portrait"/>
      <w:cols w:equalWidth="0" w:num="1">
        <w:col w:w="10119"/>
      </w:cols>
      <w:pgMar w:left="3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2025-07-22T23:10:51Z</dcterms:created>
  <dcterms:modified xsi:type="dcterms:W3CDTF">2025-07-22T23:10:51Z</dcterms:modified>
</cp:coreProperties>
</file>